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50DE5" w14:textId="77777777" w:rsidR="007F5B3F" w:rsidRDefault="00000000">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Student Belonging and Engagement in Organizational Messaging: A Content Analysis of Career Technical Student Organization Websites</w:t>
      </w:r>
    </w:p>
    <w:p w14:paraId="71595DAA" w14:textId="77777777" w:rsidR="00240809" w:rsidRDefault="00240809">
      <w:pPr>
        <w:jc w:val="center"/>
        <w:rPr>
          <w:rFonts w:ascii="Times New Roman" w:eastAsia="Times New Roman" w:hAnsi="Times New Roman" w:cs="Times New Roman"/>
          <w:b/>
          <w:bCs/>
          <w:sz w:val="24"/>
          <w:szCs w:val="24"/>
        </w:rPr>
      </w:pPr>
    </w:p>
    <w:p w14:paraId="0AE61E41" w14:textId="3B1BE0AA" w:rsidR="00240809" w:rsidRPr="00240809" w:rsidRDefault="00240809">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Katrina Swinehart Held, Bowling Green State University</w:t>
      </w:r>
    </w:p>
    <w:p w14:paraId="0192D14D" w14:textId="77777777" w:rsidR="007F5B3F" w:rsidRDefault="007F5B3F">
      <w:pPr>
        <w:jc w:val="center"/>
        <w:rPr>
          <w:rFonts w:ascii="Times New Roman" w:eastAsia="Times New Roman" w:hAnsi="Times New Roman" w:cs="Times New Roman"/>
          <w:b/>
          <w:bCs/>
          <w:sz w:val="24"/>
          <w:szCs w:val="24"/>
        </w:rPr>
      </w:pPr>
    </w:p>
    <w:p w14:paraId="787438E8" w14:textId="77777777" w:rsidR="007F5B3F" w:rsidRDefault="00000000">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Abstract</w:t>
      </w:r>
    </w:p>
    <w:p w14:paraId="1DB8167E" w14:textId="77777777" w:rsidR="007F5B3F" w:rsidRDefault="007F5B3F">
      <w:pPr>
        <w:jc w:val="center"/>
        <w:rPr>
          <w:rFonts w:ascii="Times New Roman" w:eastAsia="Times New Roman" w:hAnsi="Times New Roman" w:cs="Times New Roman"/>
          <w:b/>
          <w:bCs/>
          <w:sz w:val="24"/>
          <w:szCs w:val="24"/>
        </w:rPr>
      </w:pPr>
    </w:p>
    <w:p w14:paraId="3A43A8AE" w14:textId="3D2E0FFD" w:rsidR="007F5B3F" w:rsidRDefault="00000000">
      <w:pPr>
        <w:rPr>
          <w:rFonts w:ascii="Times New Roman" w:eastAsia="Times New Roman" w:hAnsi="Times New Roman" w:cs="Times New Roman"/>
          <w:i/>
          <w:iCs/>
          <w:sz w:val="24"/>
          <w:szCs w:val="24"/>
          <w:shd w:val="clear" w:color="auto" w:fill="FFE599"/>
        </w:rPr>
      </w:pPr>
      <w:r>
        <w:rPr>
          <w:rFonts w:ascii="Times New Roman" w:eastAsia="Times New Roman" w:hAnsi="Times New Roman" w:cs="Times New Roman"/>
          <w:b/>
          <w:bCs/>
          <w:sz w:val="24"/>
          <w:szCs w:val="24"/>
        </w:rPr>
        <w:tab/>
      </w:r>
      <w:r>
        <w:rPr>
          <w:rFonts w:ascii="Times New Roman" w:eastAsia="Times New Roman" w:hAnsi="Times New Roman" w:cs="Times New Roman"/>
          <w:i/>
          <w:iCs/>
          <w:sz w:val="24"/>
          <w:szCs w:val="24"/>
        </w:rPr>
        <w:t xml:space="preserve">Career-Technical Education is a rapidly growing field in the United States. Due to this growth, Career-Technical Student Organizations have also seen significant increases in membership. This growth has highlighted the need for intentional actions to ensure a sense of belonging for all students in these programs and organizations. The Sense of Community </w:t>
      </w:r>
      <w:r w:rsidR="006A102E">
        <w:rPr>
          <w:rFonts w:ascii="Times New Roman" w:eastAsia="Times New Roman" w:hAnsi="Times New Roman" w:cs="Times New Roman"/>
          <w:i/>
          <w:iCs/>
          <w:sz w:val="24"/>
          <w:szCs w:val="24"/>
        </w:rPr>
        <w:t>Theory was</w:t>
      </w:r>
      <w:r>
        <w:rPr>
          <w:rFonts w:ascii="Times New Roman" w:eastAsia="Times New Roman" w:hAnsi="Times New Roman" w:cs="Times New Roman"/>
          <w:i/>
          <w:iCs/>
          <w:sz w:val="24"/>
          <w:szCs w:val="24"/>
        </w:rPr>
        <w:t xml:space="preserve"> used as a lens to analyze the content and determine how these organizations foster a sense of belonging, while also identifying similarities and differences in their approaches. This study conducted a content analysis of the public websites of all Career-Technical Student Organizations that are part of the </w:t>
      </w:r>
      <w:r>
        <w:rPr>
          <w:rFonts w:ascii="Times New Roman" w:eastAsia="Times New Roman" w:hAnsi="Times New Roman" w:cs="Times New Roman"/>
          <w:i/>
          <w:iCs/>
          <w:color w:val="1E293B"/>
          <w:sz w:val="24"/>
          <w:szCs w:val="24"/>
        </w:rPr>
        <w:t xml:space="preserve">National Coordinating Council of Career and Technical Student Organizations. </w:t>
      </w:r>
      <w:r>
        <w:rPr>
          <w:rFonts w:ascii="Times New Roman" w:eastAsia="Times New Roman" w:hAnsi="Times New Roman" w:cs="Times New Roman"/>
          <w:i/>
          <w:iCs/>
          <w:sz w:val="24"/>
          <w:szCs w:val="24"/>
        </w:rPr>
        <w:t xml:space="preserve">FCCLA and FFA had the most content that </w:t>
      </w:r>
      <w:proofErr w:type="gramStart"/>
      <w:r>
        <w:rPr>
          <w:rFonts w:ascii="Times New Roman" w:eastAsia="Times New Roman" w:hAnsi="Times New Roman" w:cs="Times New Roman"/>
          <w:i/>
          <w:iCs/>
          <w:sz w:val="24"/>
          <w:szCs w:val="24"/>
        </w:rPr>
        <w:t>was examined</w:t>
      </w:r>
      <w:proofErr w:type="gramEnd"/>
      <w:r>
        <w:rPr>
          <w:rFonts w:ascii="Times New Roman" w:eastAsia="Times New Roman" w:hAnsi="Times New Roman" w:cs="Times New Roman"/>
          <w:i/>
          <w:iCs/>
          <w:sz w:val="24"/>
          <w:szCs w:val="24"/>
        </w:rPr>
        <w:t xml:space="preserve"> throughout the content analysis, BPA, FBLA, HOSA, and SkillsUSA were </w:t>
      </w:r>
      <w:r w:rsidR="00500239">
        <w:rPr>
          <w:rFonts w:ascii="Times New Roman" w:eastAsia="Times New Roman" w:hAnsi="Times New Roman" w:cs="Times New Roman"/>
          <w:i/>
          <w:iCs/>
          <w:sz w:val="24"/>
          <w:szCs w:val="24"/>
        </w:rPr>
        <w:t>as</w:t>
      </w:r>
      <w:r>
        <w:rPr>
          <w:rFonts w:ascii="Times New Roman" w:eastAsia="Times New Roman" w:hAnsi="Times New Roman" w:cs="Times New Roman"/>
          <w:i/>
          <w:iCs/>
          <w:sz w:val="24"/>
          <w:szCs w:val="24"/>
        </w:rPr>
        <w:t xml:space="preserve"> </w:t>
      </w:r>
      <w:r w:rsidR="007F08C3">
        <w:rPr>
          <w:rFonts w:ascii="Times New Roman" w:eastAsia="Times New Roman" w:hAnsi="Times New Roman" w:cs="Times New Roman"/>
          <w:i/>
          <w:iCs/>
          <w:sz w:val="24"/>
          <w:szCs w:val="24"/>
        </w:rPr>
        <w:t>descriptive</w:t>
      </w:r>
      <w:r>
        <w:rPr>
          <w:rFonts w:ascii="Times New Roman" w:eastAsia="Times New Roman" w:hAnsi="Times New Roman" w:cs="Times New Roman"/>
          <w:i/>
          <w:iCs/>
          <w:sz w:val="24"/>
          <w:szCs w:val="24"/>
        </w:rPr>
        <w:t xml:space="preserve">, whereas PAS and TSA offered the least information about the tenets of the Sense of Community Theory. Overall, </w:t>
      </w:r>
      <w:r w:rsidR="001E552F">
        <w:rPr>
          <w:rFonts w:ascii="Times New Roman" w:eastAsia="Times New Roman" w:hAnsi="Times New Roman" w:cs="Times New Roman"/>
          <w:i/>
          <w:iCs/>
          <w:sz w:val="24"/>
          <w:szCs w:val="24"/>
        </w:rPr>
        <w:t>all</w:t>
      </w:r>
      <w:r>
        <w:rPr>
          <w:rFonts w:ascii="Times New Roman" w:eastAsia="Times New Roman" w:hAnsi="Times New Roman" w:cs="Times New Roman"/>
          <w:i/>
          <w:iCs/>
          <w:sz w:val="24"/>
          <w:szCs w:val="24"/>
        </w:rPr>
        <w:t xml:space="preserve"> the organizations offered a large amount of information about the benefits of membership and the opportunities available to members of their </w:t>
      </w:r>
      <w:r w:rsidR="007F08C3">
        <w:rPr>
          <w:rFonts w:ascii="Times New Roman" w:eastAsia="Times New Roman" w:hAnsi="Times New Roman" w:cs="Times New Roman"/>
          <w:i/>
          <w:iCs/>
          <w:sz w:val="24"/>
          <w:szCs w:val="24"/>
        </w:rPr>
        <w:t>organization</w:t>
      </w:r>
      <w:r>
        <w:rPr>
          <w:rFonts w:ascii="Times New Roman" w:eastAsia="Times New Roman" w:hAnsi="Times New Roman" w:cs="Times New Roman"/>
          <w:i/>
          <w:iCs/>
          <w:sz w:val="24"/>
          <w:szCs w:val="24"/>
        </w:rPr>
        <w:t xml:space="preserve">. </w:t>
      </w:r>
    </w:p>
    <w:p w14:paraId="50AAEAEF" w14:textId="77777777" w:rsidR="007F5B3F" w:rsidRDefault="007F5B3F">
      <w:pPr>
        <w:rPr>
          <w:rFonts w:ascii="Times New Roman" w:eastAsia="Times New Roman" w:hAnsi="Times New Roman" w:cs="Times New Roman"/>
          <w:sz w:val="24"/>
          <w:szCs w:val="24"/>
        </w:rPr>
      </w:pPr>
    </w:p>
    <w:p w14:paraId="4803B6DA" w14:textId="77777777" w:rsidR="007F5B3F" w:rsidRDefault="00000000">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Introduction/Theoretical Framework</w:t>
      </w:r>
    </w:p>
    <w:p w14:paraId="518AB5D7" w14:textId="77777777" w:rsidR="007F5B3F" w:rsidRDefault="007F5B3F">
      <w:pPr>
        <w:jc w:val="center"/>
        <w:rPr>
          <w:rFonts w:ascii="Times New Roman" w:eastAsia="Times New Roman" w:hAnsi="Times New Roman" w:cs="Times New Roman"/>
          <w:b/>
          <w:bCs/>
          <w:sz w:val="24"/>
          <w:szCs w:val="24"/>
        </w:rPr>
      </w:pPr>
    </w:p>
    <w:p w14:paraId="1D250BDA" w14:textId="7B2CA910" w:rsidR="007D671F" w:rsidRPr="00240809" w:rsidRDefault="00000000" w:rsidP="00C52FF9">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C52FF9" w:rsidRPr="00C52FF9">
        <w:rPr>
          <w:rFonts w:ascii="Times New Roman" w:eastAsia="Times New Roman" w:hAnsi="Times New Roman" w:cs="Times New Roman"/>
          <w:sz w:val="24"/>
          <w:szCs w:val="24"/>
          <w:lang w:val="en-US"/>
        </w:rPr>
        <w:t xml:space="preserve">Across the United States, rapid growth in Career-Technical Education (CTE) has occurred in recent years (Advance CTE, 2025). </w:t>
      </w:r>
      <w:r w:rsidR="00C52FF9">
        <w:rPr>
          <w:rFonts w:ascii="Times New Roman" w:eastAsia="Times New Roman" w:hAnsi="Times New Roman" w:cs="Times New Roman"/>
          <w:sz w:val="24"/>
          <w:szCs w:val="24"/>
        </w:rPr>
        <w:t>CTE</w:t>
      </w:r>
      <w:r w:rsidR="00C52FF9" w:rsidRPr="00C52FF9">
        <w:rPr>
          <w:rFonts w:ascii="Times New Roman" w:eastAsia="Times New Roman" w:hAnsi="Times New Roman" w:cs="Times New Roman"/>
          <w:sz w:val="24"/>
          <w:szCs w:val="24"/>
        </w:rPr>
        <w:t xml:space="preserve"> is growing rapidly due to increasing student demand and stronger alignment with workforce needs, particularly as employers seek workers with technical skills for high-demand careers (</w:t>
      </w:r>
      <w:r w:rsidR="00C52FF9">
        <w:rPr>
          <w:rFonts w:ascii="Times New Roman" w:eastAsia="Times New Roman" w:hAnsi="Times New Roman" w:cs="Times New Roman"/>
          <w:sz w:val="24"/>
          <w:szCs w:val="24"/>
        </w:rPr>
        <w:t>Education Week, 2025</w:t>
      </w:r>
      <w:r w:rsidR="00C52FF9" w:rsidRPr="00C52FF9">
        <w:rPr>
          <w:rFonts w:ascii="Times New Roman" w:eastAsia="Times New Roman" w:hAnsi="Times New Roman" w:cs="Times New Roman"/>
          <w:sz w:val="24"/>
          <w:szCs w:val="24"/>
        </w:rPr>
        <w:t xml:space="preserve">). Additionally, shifting perceptions about the value of </w:t>
      </w:r>
      <w:proofErr w:type="gramStart"/>
      <w:r w:rsidR="00C52FF9" w:rsidRPr="00C52FF9">
        <w:rPr>
          <w:rFonts w:ascii="Times New Roman" w:eastAsia="Times New Roman" w:hAnsi="Times New Roman" w:cs="Times New Roman"/>
          <w:sz w:val="24"/>
          <w:szCs w:val="24"/>
        </w:rPr>
        <w:t>hands-on</w:t>
      </w:r>
      <w:proofErr w:type="gramEnd"/>
      <w:r w:rsidR="00C52FF9" w:rsidRPr="00C52FF9">
        <w:rPr>
          <w:rFonts w:ascii="Times New Roman" w:eastAsia="Times New Roman" w:hAnsi="Times New Roman" w:cs="Times New Roman"/>
          <w:sz w:val="24"/>
          <w:szCs w:val="24"/>
        </w:rPr>
        <w:t>, career-focused learning and expanded policy and funding support have further accelerated the expansion of CTE programs nationwide (</w:t>
      </w:r>
      <w:r w:rsidR="00C52FF9">
        <w:rPr>
          <w:rFonts w:ascii="Times New Roman" w:eastAsia="Times New Roman" w:hAnsi="Times New Roman" w:cs="Times New Roman"/>
          <w:sz w:val="24"/>
          <w:szCs w:val="24"/>
        </w:rPr>
        <w:t>NCCER, 2025</w:t>
      </w:r>
      <w:r w:rsidR="007D671F">
        <w:rPr>
          <w:rFonts w:ascii="Times New Roman" w:eastAsia="Times New Roman" w:hAnsi="Times New Roman" w:cs="Times New Roman"/>
          <w:sz w:val="24"/>
          <w:szCs w:val="24"/>
        </w:rPr>
        <w:t>). CTE expansion</w:t>
      </w:r>
      <w:r w:rsidR="00C52FF9" w:rsidRPr="00C52FF9">
        <w:rPr>
          <w:rFonts w:ascii="Times New Roman" w:eastAsia="Times New Roman" w:hAnsi="Times New Roman" w:cs="Times New Roman"/>
          <w:sz w:val="24"/>
          <w:szCs w:val="24"/>
          <w:lang w:val="en-US"/>
        </w:rPr>
        <w:t xml:space="preserve"> has corresponded with increased participation in Career and Technical Student Organizations (CTSOs), which are</w:t>
      </w:r>
      <w:r w:rsidR="007D671F">
        <w:rPr>
          <w:rFonts w:ascii="Times New Roman" w:eastAsia="Times New Roman" w:hAnsi="Times New Roman" w:cs="Times New Roman"/>
          <w:sz w:val="24"/>
          <w:szCs w:val="24"/>
          <w:lang w:val="en-US"/>
        </w:rPr>
        <w:t xml:space="preserve"> </w:t>
      </w:r>
      <w:r w:rsidR="00C52FF9" w:rsidRPr="00C52FF9">
        <w:rPr>
          <w:rFonts w:ascii="Times New Roman" w:eastAsia="Times New Roman" w:hAnsi="Times New Roman" w:cs="Times New Roman"/>
          <w:sz w:val="24"/>
          <w:szCs w:val="24"/>
          <w:lang w:val="en-US"/>
        </w:rPr>
        <w:t xml:space="preserve">recognized as integral components of CTE programming. CTSOs extend classroom learning through leadership development, competitive events, and experiential learning opportunities (NRCCTE, 2005). </w:t>
      </w:r>
      <w:r w:rsidR="00557603" w:rsidRPr="00557603">
        <w:rPr>
          <w:rFonts w:ascii="Times New Roman" w:eastAsia="Times New Roman" w:hAnsi="Times New Roman" w:cs="Times New Roman"/>
          <w:sz w:val="24"/>
          <w:szCs w:val="24"/>
        </w:rPr>
        <w:t xml:space="preserve">Furthermore, belonging in learning environments has been a concern for the United States Department of Education (Lewis &amp; Bates, 2018). Each CTSO has chosen to address this concern and communicate those changes to its target audience in </w:t>
      </w:r>
      <w:proofErr w:type="gramStart"/>
      <w:r w:rsidR="00557603" w:rsidRPr="00557603">
        <w:rPr>
          <w:rFonts w:ascii="Times New Roman" w:eastAsia="Times New Roman" w:hAnsi="Times New Roman" w:cs="Times New Roman"/>
          <w:sz w:val="24"/>
          <w:szCs w:val="24"/>
        </w:rPr>
        <w:t>different ways</w:t>
      </w:r>
      <w:proofErr w:type="gramEnd"/>
      <w:r w:rsidR="00557603" w:rsidRPr="00557603">
        <w:rPr>
          <w:rFonts w:ascii="Times New Roman" w:eastAsia="Times New Roman" w:hAnsi="Times New Roman" w:cs="Times New Roman"/>
          <w:sz w:val="24"/>
          <w:szCs w:val="24"/>
        </w:rPr>
        <w:t>. This study explores the messages and information CTSOs share about students' sense of belonging within their organizations, using publicly available sources.</w:t>
      </w:r>
    </w:p>
    <w:p w14:paraId="2BE69E89" w14:textId="7B5EBBCD" w:rsidR="007D671F" w:rsidRPr="00C52FF9" w:rsidRDefault="00C52FF9" w:rsidP="00240809">
      <w:pPr>
        <w:ind w:firstLine="720"/>
        <w:rPr>
          <w:rFonts w:ascii="Times New Roman" w:eastAsia="Times New Roman" w:hAnsi="Times New Roman" w:cs="Times New Roman"/>
          <w:sz w:val="24"/>
          <w:szCs w:val="24"/>
          <w:lang w:val="en-US"/>
        </w:rPr>
      </w:pPr>
      <w:r w:rsidRPr="00C52FF9">
        <w:rPr>
          <w:rFonts w:ascii="Times New Roman" w:eastAsia="Times New Roman" w:hAnsi="Times New Roman" w:cs="Times New Roman"/>
          <w:sz w:val="24"/>
          <w:szCs w:val="24"/>
          <w:lang w:val="en-US"/>
        </w:rPr>
        <w:t xml:space="preserve">Participation in CTSOs has </w:t>
      </w:r>
      <w:proofErr w:type="gramStart"/>
      <w:r w:rsidRPr="00C52FF9">
        <w:rPr>
          <w:rFonts w:ascii="Times New Roman" w:eastAsia="Times New Roman" w:hAnsi="Times New Roman" w:cs="Times New Roman"/>
          <w:sz w:val="24"/>
          <w:szCs w:val="24"/>
          <w:lang w:val="en-US"/>
        </w:rPr>
        <w:t>been consistently linked</w:t>
      </w:r>
      <w:proofErr w:type="gramEnd"/>
      <w:r w:rsidRPr="00C52FF9">
        <w:rPr>
          <w:rFonts w:ascii="Times New Roman" w:eastAsia="Times New Roman" w:hAnsi="Times New Roman" w:cs="Times New Roman"/>
          <w:sz w:val="24"/>
          <w:szCs w:val="24"/>
          <w:lang w:val="en-US"/>
        </w:rPr>
        <w:t xml:space="preserve"> to leadership development, career readiness, and increased engagement with school and coursework (</w:t>
      </w:r>
      <w:proofErr w:type="spellStart"/>
      <w:r w:rsidRPr="00C52FF9">
        <w:rPr>
          <w:rFonts w:ascii="Times New Roman" w:eastAsia="Times New Roman" w:hAnsi="Times New Roman" w:cs="Times New Roman"/>
          <w:sz w:val="24"/>
          <w:szCs w:val="24"/>
          <w:lang w:val="en-US"/>
        </w:rPr>
        <w:t>Magnera</w:t>
      </w:r>
      <w:proofErr w:type="spellEnd"/>
      <w:r w:rsidRPr="00C52FF9">
        <w:rPr>
          <w:rFonts w:ascii="Times New Roman" w:eastAsia="Times New Roman" w:hAnsi="Times New Roman" w:cs="Times New Roman"/>
          <w:sz w:val="24"/>
          <w:szCs w:val="24"/>
          <w:lang w:val="en-US"/>
        </w:rPr>
        <w:t xml:space="preserve">, 2024; McNally &amp; Harvey, 2001; Swinehart Held, 2023; Threeton &amp; Pellock, 2009; Taylor, 2006). More recent </w:t>
      </w:r>
      <w:r w:rsidR="007D671F">
        <w:rPr>
          <w:rFonts w:ascii="Times New Roman" w:eastAsia="Times New Roman" w:hAnsi="Times New Roman" w:cs="Times New Roman"/>
          <w:sz w:val="24"/>
          <w:szCs w:val="24"/>
          <w:lang w:val="en-US"/>
        </w:rPr>
        <w:t>research</w:t>
      </w:r>
      <w:r w:rsidRPr="00C52FF9">
        <w:rPr>
          <w:rFonts w:ascii="Times New Roman" w:eastAsia="Times New Roman" w:hAnsi="Times New Roman" w:cs="Times New Roman"/>
          <w:sz w:val="24"/>
          <w:szCs w:val="24"/>
          <w:lang w:val="en-US"/>
        </w:rPr>
        <w:t xml:space="preserve"> extends this understanding by emphasizing the role of CTSOs in fostering students’ social-emotional development and well-being. Beck et al. (2022) found that CTSO participation supports mental wellness, resilience, and coping skills, while also promoting leadership and civic engagement</w:t>
      </w:r>
      <w:r w:rsidR="007D671F">
        <w:rPr>
          <w:rFonts w:ascii="Times New Roman" w:eastAsia="Times New Roman" w:hAnsi="Times New Roman" w:cs="Times New Roman"/>
          <w:sz w:val="24"/>
          <w:szCs w:val="24"/>
          <w:lang w:val="en-US"/>
        </w:rPr>
        <w:t xml:space="preserve">. </w:t>
      </w:r>
      <w:r w:rsidRPr="00C52FF9">
        <w:rPr>
          <w:rFonts w:ascii="Times New Roman" w:eastAsia="Times New Roman" w:hAnsi="Times New Roman" w:cs="Times New Roman"/>
          <w:sz w:val="24"/>
          <w:szCs w:val="24"/>
          <w:lang w:val="en-US"/>
        </w:rPr>
        <w:t xml:space="preserve">Organizational overviews and state-level reports emphasize that CTSOs provide mentoring, competitions, leadership </w:t>
      </w:r>
      <w:r w:rsidR="007D671F" w:rsidRPr="00C52FF9">
        <w:rPr>
          <w:rFonts w:ascii="Times New Roman" w:eastAsia="Times New Roman" w:hAnsi="Times New Roman" w:cs="Times New Roman"/>
          <w:sz w:val="24"/>
          <w:szCs w:val="24"/>
          <w:lang w:val="en-US"/>
        </w:rPr>
        <w:t>experience</w:t>
      </w:r>
      <w:r w:rsidRPr="00C52FF9">
        <w:rPr>
          <w:rFonts w:ascii="Times New Roman" w:eastAsia="Times New Roman" w:hAnsi="Times New Roman" w:cs="Times New Roman"/>
          <w:sz w:val="24"/>
          <w:szCs w:val="24"/>
          <w:lang w:val="en-US"/>
        </w:rPr>
        <w:t xml:space="preserve">, and real-world applications that extend learning beyond the classroom (GreatSchools, 2025; NCCCTSO, 2024). These experiences are designed to create meaningful interactions among students, educators, and industry professionals, reinforcing CTSOs as environments that promote belonging and identity development. State-level data further </w:t>
      </w:r>
      <w:proofErr w:type="gramStart"/>
      <w:r w:rsidRPr="00C52FF9">
        <w:rPr>
          <w:rFonts w:ascii="Times New Roman" w:eastAsia="Times New Roman" w:hAnsi="Times New Roman" w:cs="Times New Roman"/>
          <w:sz w:val="24"/>
          <w:szCs w:val="24"/>
          <w:lang w:val="en-US"/>
        </w:rPr>
        <w:t>highlight</w:t>
      </w:r>
      <w:proofErr w:type="gramEnd"/>
      <w:r w:rsidRPr="00C52FF9">
        <w:rPr>
          <w:rFonts w:ascii="Times New Roman" w:eastAsia="Times New Roman" w:hAnsi="Times New Roman" w:cs="Times New Roman"/>
          <w:sz w:val="24"/>
          <w:szCs w:val="24"/>
          <w:lang w:val="en-US"/>
        </w:rPr>
        <w:t xml:space="preserve"> the scale and impact of these organizations, with increasing participation rates and descriptions of CTSOs as </w:t>
      </w:r>
      <w:r w:rsidR="00240809">
        <w:rPr>
          <w:rFonts w:ascii="Times New Roman" w:eastAsia="Times New Roman" w:hAnsi="Times New Roman" w:cs="Times New Roman"/>
          <w:sz w:val="24"/>
          <w:szCs w:val="24"/>
          <w:lang w:val="en-US"/>
        </w:rPr>
        <w:t>communities</w:t>
      </w:r>
      <w:r w:rsidRPr="00C52FF9">
        <w:rPr>
          <w:rFonts w:ascii="Times New Roman" w:eastAsia="Times New Roman" w:hAnsi="Times New Roman" w:cs="Times New Roman"/>
          <w:sz w:val="24"/>
          <w:szCs w:val="24"/>
          <w:lang w:val="en-US"/>
        </w:rPr>
        <w:t xml:space="preserve"> that build leadership, connections, and career readiness (O</w:t>
      </w:r>
      <w:r w:rsidR="00240809">
        <w:rPr>
          <w:rFonts w:ascii="Times New Roman" w:eastAsia="Times New Roman" w:hAnsi="Times New Roman" w:cs="Times New Roman"/>
          <w:sz w:val="24"/>
          <w:szCs w:val="24"/>
          <w:lang w:val="en-US"/>
        </w:rPr>
        <w:t xml:space="preserve">K CTE </w:t>
      </w:r>
      <w:r w:rsidRPr="00C52FF9">
        <w:rPr>
          <w:rFonts w:ascii="Times New Roman" w:eastAsia="Times New Roman" w:hAnsi="Times New Roman" w:cs="Times New Roman"/>
          <w:sz w:val="24"/>
          <w:szCs w:val="24"/>
          <w:lang w:val="en-US"/>
        </w:rPr>
        <w:t>Dep</w:t>
      </w:r>
      <w:r w:rsidR="00240809">
        <w:rPr>
          <w:rFonts w:ascii="Times New Roman" w:eastAsia="Times New Roman" w:hAnsi="Times New Roman" w:cs="Times New Roman"/>
          <w:sz w:val="24"/>
          <w:szCs w:val="24"/>
          <w:lang w:val="en-US"/>
        </w:rPr>
        <w:t xml:space="preserve">t. </w:t>
      </w:r>
      <w:r w:rsidRPr="00C52FF9">
        <w:rPr>
          <w:rFonts w:ascii="Times New Roman" w:eastAsia="Times New Roman" w:hAnsi="Times New Roman" w:cs="Times New Roman"/>
          <w:sz w:val="24"/>
          <w:szCs w:val="24"/>
          <w:lang w:val="en-US"/>
        </w:rPr>
        <w:t>2024).</w:t>
      </w:r>
    </w:p>
    <w:p w14:paraId="5E9CE6DD" w14:textId="7C57A460" w:rsidR="007D671F" w:rsidRDefault="00C52FF9" w:rsidP="00240809">
      <w:pPr>
        <w:ind w:firstLine="720"/>
        <w:rPr>
          <w:rFonts w:ascii="Times New Roman" w:eastAsia="Times New Roman" w:hAnsi="Times New Roman" w:cs="Times New Roman"/>
          <w:sz w:val="24"/>
          <w:szCs w:val="24"/>
          <w:lang w:val="en-US"/>
        </w:rPr>
      </w:pPr>
      <w:r w:rsidRPr="00C52FF9">
        <w:rPr>
          <w:rFonts w:ascii="Times New Roman" w:eastAsia="Times New Roman" w:hAnsi="Times New Roman" w:cs="Times New Roman"/>
          <w:sz w:val="24"/>
          <w:szCs w:val="24"/>
          <w:lang w:val="en-US"/>
        </w:rPr>
        <w:t>From a Sense of Community (SoC) perspective, CTSOs function as structured communities with clearly defined membership, shared goals, and collective activities. These characteristics align closely with the membership and shared emotional connection dimensions described by McMillan and Chavis (1986). CTSOs frequently emphasize organizational symbols, traditions, and collective identity, which reinforce belonging and group cohesion (NRCCTE, 2005). Organizational websites serve as an important mechanism through which CTSOs communicate these community features, shaping how prospective and current members understand what it means to belong.</w:t>
      </w:r>
    </w:p>
    <w:p w14:paraId="7F111077" w14:textId="1D8B6B4A" w:rsidR="007D671F" w:rsidRPr="00240809" w:rsidRDefault="00C52FF9" w:rsidP="00240809">
      <w:pPr>
        <w:ind w:firstLine="720"/>
        <w:rPr>
          <w:rFonts w:ascii="Times New Roman" w:eastAsia="Times New Roman" w:hAnsi="Times New Roman" w:cs="Times New Roman"/>
          <w:sz w:val="24"/>
          <w:szCs w:val="24"/>
        </w:rPr>
      </w:pPr>
      <w:r w:rsidRPr="00C52FF9">
        <w:rPr>
          <w:rFonts w:ascii="Times New Roman" w:eastAsia="Times New Roman" w:hAnsi="Times New Roman" w:cs="Times New Roman"/>
          <w:sz w:val="24"/>
          <w:szCs w:val="24"/>
          <w:lang w:val="en-US"/>
        </w:rPr>
        <w:t>Membership, as conceptualized within SoC Theory, reflects feelings of belonging and identification with a group (McMillan &amp; Chavis, 1986). CTSOs emphasize formal membership structures, including eligibility requirements, chapters, and national affiliation, which establish clear boundaries and shared identity. Research suggests that these structures support student engagement by providing a sense of inclusion and purpose (NRCCTE, 2005).</w:t>
      </w:r>
      <w:r w:rsidR="007D671F">
        <w:rPr>
          <w:rFonts w:ascii="Times New Roman" w:eastAsia="Times New Roman" w:hAnsi="Times New Roman" w:cs="Times New Roman"/>
          <w:sz w:val="24"/>
          <w:szCs w:val="24"/>
          <w:lang w:val="en-US"/>
        </w:rPr>
        <w:t xml:space="preserve"> </w:t>
      </w:r>
      <w:r w:rsidRPr="00C52FF9">
        <w:rPr>
          <w:rFonts w:ascii="Times New Roman" w:eastAsia="Times New Roman" w:hAnsi="Times New Roman" w:cs="Times New Roman"/>
          <w:sz w:val="24"/>
          <w:szCs w:val="24"/>
          <w:lang w:val="en-US"/>
        </w:rPr>
        <w:t xml:space="preserve">The influence dimension of SoC Theory emphasizes reciprocal relationships between individuals and the group (McMillan &amp; Chavis, 1986). CTSOs provide opportunities for influence through leadership roles, competitions, and service activities. </w:t>
      </w:r>
      <w:proofErr w:type="spellStart"/>
      <w:r w:rsidRPr="00C52FF9">
        <w:rPr>
          <w:rFonts w:ascii="Times New Roman" w:eastAsia="Times New Roman" w:hAnsi="Times New Roman" w:cs="Times New Roman"/>
          <w:sz w:val="24"/>
          <w:szCs w:val="24"/>
          <w:lang w:val="en-US"/>
        </w:rPr>
        <w:t>Magnera</w:t>
      </w:r>
      <w:proofErr w:type="spellEnd"/>
      <w:r w:rsidRPr="00C52FF9">
        <w:rPr>
          <w:rFonts w:ascii="Times New Roman" w:eastAsia="Times New Roman" w:hAnsi="Times New Roman" w:cs="Times New Roman"/>
          <w:sz w:val="24"/>
          <w:szCs w:val="24"/>
          <w:lang w:val="en-US"/>
        </w:rPr>
        <w:t xml:space="preserve"> (2024) found that transformational leadership practices</w:t>
      </w:r>
      <w:r w:rsidR="007D671F">
        <w:rPr>
          <w:rFonts w:ascii="Times New Roman" w:eastAsia="Times New Roman" w:hAnsi="Times New Roman" w:cs="Times New Roman"/>
          <w:sz w:val="24"/>
          <w:szCs w:val="24"/>
          <w:lang w:val="en-US"/>
        </w:rPr>
        <w:t xml:space="preserve">, </w:t>
      </w:r>
      <w:r w:rsidRPr="00C52FF9">
        <w:rPr>
          <w:rFonts w:ascii="Times New Roman" w:eastAsia="Times New Roman" w:hAnsi="Times New Roman" w:cs="Times New Roman"/>
          <w:sz w:val="24"/>
          <w:szCs w:val="24"/>
          <w:lang w:val="en-US"/>
        </w:rPr>
        <w:t>such as vision-setting and relationship-building</w:t>
      </w:r>
      <w:r w:rsidR="007D671F">
        <w:rPr>
          <w:rFonts w:ascii="Times New Roman" w:eastAsia="Times New Roman" w:hAnsi="Times New Roman" w:cs="Times New Roman"/>
          <w:sz w:val="24"/>
          <w:szCs w:val="24"/>
          <w:lang w:val="en-US"/>
        </w:rPr>
        <w:t xml:space="preserve">, </w:t>
      </w:r>
      <w:r w:rsidRPr="00C52FF9">
        <w:rPr>
          <w:rFonts w:ascii="Times New Roman" w:eastAsia="Times New Roman" w:hAnsi="Times New Roman" w:cs="Times New Roman"/>
          <w:sz w:val="24"/>
          <w:szCs w:val="24"/>
          <w:lang w:val="en-US"/>
        </w:rPr>
        <w:t>significantly increase student participation in CTSOs, underscoring the importance of leadership in fostering engagement and belonging. These findings align with earlier research demonstrating that leadership opportunities within CTSOs enhance motivation and commitment (Taylor, 2006; Threeton &amp; Pellock, 2009).</w:t>
      </w:r>
      <w:r w:rsidR="007D671F">
        <w:rPr>
          <w:rFonts w:ascii="Times New Roman" w:eastAsia="Times New Roman" w:hAnsi="Times New Roman" w:cs="Times New Roman"/>
          <w:sz w:val="24"/>
          <w:szCs w:val="24"/>
          <w:lang w:val="en-US"/>
        </w:rPr>
        <w:t xml:space="preserve"> </w:t>
      </w:r>
      <w:r w:rsidRPr="00C52FF9">
        <w:rPr>
          <w:rFonts w:ascii="Times New Roman" w:eastAsia="Times New Roman" w:hAnsi="Times New Roman" w:cs="Times New Roman"/>
          <w:sz w:val="24"/>
          <w:szCs w:val="24"/>
          <w:lang w:val="en-US"/>
        </w:rPr>
        <w:t xml:space="preserve">The integration and fulfillment of needs dimension suggests that belonging </w:t>
      </w:r>
      <w:proofErr w:type="gramStart"/>
      <w:r w:rsidRPr="00C52FF9">
        <w:rPr>
          <w:rFonts w:ascii="Times New Roman" w:eastAsia="Times New Roman" w:hAnsi="Times New Roman" w:cs="Times New Roman"/>
          <w:sz w:val="24"/>
          <w:szCs w:val="24"/>
          <w:lang w:val="en-US"/>
        </w:rPr>
        <w:t>is reinforced</w:t>
      </w:r>
      <w:proofErr w:type="gramEnd"/>
      <w:r w:rsidRPr="00C52FF9">
        <w:rPr>
          <w:rFonts w:ascii="Times New Roman" w:eastAsia="Times New Roman" w:hAnsi="Times New Roman" w:cs="Times New Roman"/>
          <w:sz w:val="24"/>
          <w:szCs w:val="24"/>
          <w:lang w:val="en-US"/>
        </w:rPr>
        <w:t xml:space="preserve"> when participation meets members’ personal and developmental goals (McMillan &amp; Chavis, 1986). CTSOs are intentionally designed to support leadership development, career exploration, and workforce readiness. Marshall (2024) found that CTSO participation strengthens students’ sense of academic connection by enhancing relationships with peers, instructors, and content. Similarly, Haynes (2021) </w:t>
      </w:r>
      <w:r w:rsidR="007D671F">
        <w:rPr>
          <w:rFonts w:ascii="Times New Roman" w:eastAsia="Times New Roman" w:hAnsi="Times New Roman" w:cs="Times New Roman"/>
          <w:sz w:val="24"/>
          <w:szCs w:val="24"/>
          <w:lang w:val="en-US"/>
        </w:rPr>
        <w:t xml:space="preserve">found </w:t>
      </w:r>
      <w:r w:rsidRPr="00C52FF9">
        <w:rPr>
          <w:rFonts w:ascii="Times New Roman" w:eastAsia="Times New Roman" w:hAnsi="Times New Roman" w:cs="Times New Roman"/>
          <w:sz w:val="24"/>
          <w:szCs w:val="24"/>
          <w:lang w:val="en-US"/>
        </w:rPr>
        <w:t xml:space="preserve">the role of certifications, scholarships, and applied learning experiences in meeting students’ academic and career needs. Shared emotional connection develops through common experiences, traditions, and collective accomplishments (McMillan &amp; Chavis, 1986). CTSOs provide numerous opportunities for shared experiences through conferences, competitions, service projects, and alumni engagement. The NRCCTE (2005) emphasized that these experiences contribute to long-term identification with CTSOs. Contemporary research beyond CTSOs further supports this concept. Perry et al. (2025) found that participation in co-curricular outreach activities significantly improves students’ sense of belonging, communication skills, and professional identity. Similarly, Rosenberg et al. (2024) highlighted the importance of mentorship and leadership in fostering belonging and identity development. </w:t>
      </w:r>
      <w:r w:rsidR="00557603">
        <w:rPr>
          <w:rFonts w:ascii="Times New Roman" w:eastAsia="Times New Roman" w:hAnsi="Times New Roman" w:cs="Times New Roman"/>
          <w:sz w:val="24"/>
          <w:szCs w:val="24"/>
        </w:rPr>
        <w:t>Specifically for School-Based Agricultural Education (SBAE)</w:t>
      </w:r>
      <w:r w:rsidR="00557603" w:rsidRPr="00557603">
        <w:rPr>
          <w:rFonts w:ascii="Times New Roman" w:eastAsia="Times New Roman" w:hAnsi="Times New Roman" w:cs="Times New Roman"/>
          <w:sz w:val="24"/>
          <w:szCs w:val="24"/>
        </w:rPr>
        <w:t xml:space="preserve"> research has shown that engagement in FFA competitions is motivating for students (Bowing &amp; Ball, 2020; Curry, 2017).</w:t>
      </w:r>
      <w:r w:rsidR="00557603">
        <w:rPr>
          <w:rFonts w:ascii="Times New Roman" w:eastAsia="Times New Roman" w:hAnsi="Times New Roman" w:cs="Times New Roman"/>
          <w:sz w:val="24"/>
          <w:szCs w:val="24"/>
        </w:rPr>
        <w:t xml:space="preserve"> </w:t>
      </w:r>
      <w:r w:rsidRPr="00C52FF9">
        <w:rPr>
          <w:rFonts w:ascii="Times New Roman" w:eastAsia="Times New Roman" w:hAnsi="Times New Roman" w:cs="Times New Roman"/>
          <w:sz w:val="24"/>
          <w:szCs w:val="24"/>
          <w:lang w:val="en-US"/>
        </w:rPr>
        <w:t>These findings parallel CTSO structures, where mentorship, leadership, and shared experiences are central components.</w:t>
      </w:r>
    </w:p>
    <w:p w14:paraId="50200C0C" w14:textId="6E436E66" w:rsidR="00557603" w:rsidRPr="00557603" w:rsidRDefault="00557603" w:rsidP="00240809">
      <w:pPr>
        <w:ind w:firstLine="720"/>
        <w:rPr>
          <w:rFonts w:ascii="Times New Roman" w:eastAsia="Times New Roman" w:hAnsi="Times New Roman" w:cs="Times New Roman"/>
          <w:sz w:val="24"/>
          <w:szCs w:val="24"/>
        </w:rPr>
      </w:pPr>
      <w:r w:rsidRPr="00557603">
        <w:rPr>
          <w:rFonts w:ascii="Times New Roman" w:eastAsia="Times New Roman" w:hAnsi="Times New Roman" w:cs="Times New Roman"/>
          <w:sz w:val="24"/>
          <w:szCs w:val="24"/>
        </w:rPr>
        <w:t>Research on student organizations more broadly supports the importance of shared experiences in fostering belonging and engagement (Gieg et al., 2015). Although this work is situated in postsecondary contexts, it provides a useful parallel for understanding how CTSOs cultivate emotional connection through shared participation.</w:t>
      </w:r>
      <w:r w:rsidRPr="00557603">
        <w:rPr>
          <w:rFonts w:ascii="Times New Roman" w:eastAsia="Times New Roman" w:hAnsi="Times New Roman" w:cs="Times New Roman"/>
          <w:b/>
          <w:bCs/>
          <w:sz w:val="24"/>
          <w:szCs w:val="24"/>
        </w:rPr>
        <w:t xml:space="preserve"> </w:t>
      </w:r>
      <w:r w:rsidRPr="00557603">
        <w:rPr>
          <w:rFonts w:ascii="Times New Roman" w:eastAsia="Times New Roman" w:hAnsi="Times New Roman" w:cs="Times New Roman"/>
          <w:sz w:val="24"/>
          <w:szCs w:val="24"/>
        </w:rPr>
        <w:t xml:space="preserve">While work has </w:t>
      </w:r>
      <w:proofErr w:type="gramStart"/>
      <w:r w:rsidRPr="00557603">
        <w:rPr>
          <w:rFonts w:ascii="Times New Roman" w:eastAsia="Times New Roman" w:hAnsi="Times New Roman" w:cs="Times New Roman"/>
          <w:sz w:val="24"/>
          <w:szCs w:val="24"/>
        </w:rPr>
        <w:t>been done</w:t>
      </w:r>
      <w:proofErr w:type="gramEnd"/>
      <w:r w:rsidRPr="00557603">
        <w:rPr>
          <w:rFonts w:ascii="Times New Roman" w:eastAsia="Times New Roman" w:hAnsi="Times New Roman" w:cs="Times New Roman"/>
          <w:sz w:val="24"/>
          <w:szCs w:val="24"/>
        </w:rPr>
        <w:t xml:space="preserve"> to explore some aspects of a few CTSOs, no literature was found that used the SoC Theory as a lens on the organizations, nor has any work specifically examined similarities and differences in CTSO engagement. However, research has examined the general impact of CTSO engagement on student belonging and engagement (</w:t>
      </w:r>
      <w:proofErr w:type="spellStart"/>
      <w:r w:rsidRPr="00557603">
        <w:rPr>
          <w:rFonts w:ascii="Times New Roman" w:eastAsia="Times New Roman" w:hAnsi="Times New Roman" w:cs="Times New Roman"/>
          <w:sz w:val="24"/>
          <w:szCs w:val="24"/>
        </w:rPr>
        <w:t>Magnera</w:t>
      </w:r>
      <w:proofErr w:type="spellEnd"/>
      <w:r w:rsidRPr="00557603">
        <w:rPr>
          <w:rFonts w:ascii="Times New Roman" w:eastAsia="Times New Roman" w:hAnsi="Times New Roman" w:cs="Times New Roman"/>
          <w:sz w:val="24"/>
          <w:szCs w:val="24"/>
        </w:rPr>
        <w:t>, 2024; McNally &amp; Harvey, 2021).</w:t>
      </w:r>
    </w:p>
    <w:p w14:paraId="7DED89E0" w14:textId="2BEF3179" w:rsidR="00557603" w:rsidRDefault="00557603" w:rsidP="00240809">
      <w:pPr>
        <w:ind w:firstLine="720"/>
        <w:rPr>
          <w:rFonts w:ascii="Times New Roman" w:eastAsia="Times New Roman" w:hAnsi="Times New Roman" w:cs="Times New Roman"/>
          <w:sz w:val="24"/>
          <w:szCs w:val="24"/>
          <w:lang w:val="en-US"/>
        </w:rPr>
      </w:pPr>
      <w:r w:rsidRPr="00557603">
        <w:rPr>
          <w:rFonts w:ascii="Times New Roman" w:eastAsia="Times New Roman" w:hAnsi="Times New Roman" w:cs="Times New Roman"/>
          <w:sz w:val="24"/>
          <w:szCs w:val="24"/>
        </w:rPr>
        <w:t xml:space="preserve">The SoC Theory (McMillan &amp; Chavis, 1986) </w:t>
      </w:r>
      <w:proofErr w:type="gramStart"/>
      <w:r w:rsidRPr="00557603">
        <w:rPr>
          <w:rFonts w:ascii="Times New Roman" w:eastAsia="Times New Roman" w:hAnsi="Times New Roman" w:cs="Times New Roman"/>
          <w:sz w:val="24"/>
          <w:szCs w:val="24"/>
        </w:rPr>
        <w:t>was used</w:t>
      </w:r>
      <w:proofErr w:type="gramEnd"/>
      <w:r w:rsidRPr="00557603">
        <w:rPr>
          <w:rFonts w:ascii="Times New Roman" w:eastAsia="Times New Roman" w:hAnsi="Times New Roman" w:cs="Times New Roman"/>
          <w:sz w:val="24"/>
          <w:szCs w:val="24"/>
        </w:rPr>
        <w:t xml:space="preserve"> to identify website content about information that would foster a sense of belonging within the CTSO. The SoC Theory identifies four characteristics of a group that foster a sense of belonging: membership, influence, the fulfillment of needs, and emotional connection. Membership acknowledges that students must be part of a group or work with individuals in ways that allow social and emotional ties and a sense of belonging to develop (McMillan &amp; Chavis, 1986). McMillan &amp; Chavis (1986) defined influence as evidence that trust </w:t>
      </w:r>
      <w:proofErr w:type="gramStart"/>
      <w:r w:rsidRPr="00557603">
        <w:rPr>
          <w:rFonts w:ascii="Times New Roman" w:eastAsia="Times New Roman" w:hAnsi="Times New Roman" w:cs="Times New Roman"/>
          <w:sz w:val="24"/>
          <w:szCs w:val="24"/>
        </w:rPr>
        <w:t>is built</w:t>
      </w:r>
      <w:proofErr w:type="gramEnd"/>
      <w:r w:rsidRPr="00557603">
        <w:rPr>
          <w:rFonts w:ascii="Times New Roman" w:eastAsia="Times New Roman" w:hAnsi="Times New Roman" w:cs="Times New Roman"/>
          <w:sz w:val="24"/>
          <w:szCs w:val="24"/>
        </w:rPr>
        <w:t xml:space="preserve"> within the membership and that members feel they are in a safe space when they are together. Integration or fulfillment of needs refers to the ways in which members create a sense of belonging and have their needs met through engagement within the group (McMillan &amp; Chavis, 1986). The final component of the theory, emotional connection, is opportunities where members can have shared experiences that allow strong relationships to be built (McMillan &amp; Chavis, 1986)</w:t>
      </w:r>
      <w:proofErr w:type="gramStart"/>
      <w:r w:rsidRPr="00557603">
        <w:rPr>
          <w:rFonts w:ascii="Times New Roman" w:eastAsia="Times New Roman" w:hAnsi="Times New Roman" w:cs="Times New Roman"/>
          <w:sz w:val="24"/>
          <w:szCs w:val="24"/>
        </w:rPr>
        <w:t xml:space="preserve">. </w:t>
      </w:r>
      <w:r w:rsidR="007D671F">
        <w:rPr>
          <w:rFonts w:ascii="Times New Roman" w:eastAsia="Times New Roman" w:hAnsi="Times New Roman" w:cs="Times New Roman"/>
          <w:sz w:val="24"/>
          <w:szCs w:val="24"/>
          <w:lang w:val="en-US"/>
        </w:rPr>
        <w:t xml:space="preserve"> </w:t>
      </w:r>
      <w:proofErr w:type="gramEnd"/>
      <w:r w:rsidR="007D671F">
        <w:rPr>
          <w:rFonts w:ascii="Times New Roman" w:eastAsia="Times New Roman" w:hAnsi="Times New Roman" w:cs="Times New Roman"/>
          <w:sz w:val="24"/>
          <w:szCs w:val="24"/>
          <w:lang w:val="en-US"/>
        </w:rPr>
        <w:t xml:space="preserve"> </w:t>
      </w:r>
    </w:p>
    <w:p w14:paraId="7AAA8241" w14:textId="10BF2E7E" w:rsidR="00C52FF9" w:rsidRPr="00C52FF9" w:rsidRDefault="00C52FF9" w:rsidP="007D671F">
      <w:pPr>
        <w:ind w:firstLine="720"/>
        <w:rPr>
          <w:rFonts w:ascii="Times New Roman" w:eastAsia="Times New Roman" w:hAnsi="Times New Roman" w:cs="Times New Roman"/>
          <w:sz w:val="24"/>
          <w:szCs w:val="24"/>
          <w:lang w:val="en-US"/>
        </w:rPr>
      </w:pPr>
      <w:r w:rsidRPr="00C52FF9">
        <w:rPr>
          <w:rFonts w:ascii="Times New Roman" w:eastAsia="Times New Roman" w:hAnsi="Times New Roman" w:cs="Times New Roman"/>
          <w:sz w:val="24"/>
          <w:szCs w:val="24"/>
          <w:lang w:val="en-US"/>
        </w:rPr>
        <w:t xml:space="preserve">Although research has examined the outcomes of CTSO participation, limited work has explicitly applied SoC Theory as a framework for understanding how CTSOs cultivate belonging, particularly through organizational messaging. Existing studies have focused primarily on participation outcomes rather than how belonging is communicated or constructed through organizational artifacts such as websites. This highlights the need </w:t>
      </w:r>
      <w:r w:rsidR="00240809">
        <w:rPr>
          <w:rFonts w:ascii="Times New Roman" w:eastAsia="Times New Roman" w:hAnsi="Times New Roman" w:cs="Times New Roman"/>
          <w:sz w:val="24"/>
          <w:szCs w:val="24"/>
          <w:lang w:val="en-US"/>
        </w:rPr>
        <w:t xml:space="preserve">to </w:t>
      </w:r>
      <w:r w:rsidRPr="00C52FF9">
        <w:rPr>
          <w:rFonts w:ascii="Times New Roman" w:eastAsia="Times New Roman" w:hAnsi="Times New Roman" w:cs="Times New Roman"/>
          <w:sz w:val="24"/>
          <w:szCs w:val="24"/>
          <w:lang w:val="en-US"/>
        </w:rPr>
        <w:t xml:space="preserve">examine how CTSOs intentionally </w:t>
      </w:r>
      <w:r w:rsidR="00240809">
        <w:rPr>
          <w:rFonts w:ascii="Times New Roman" w:eastAsia="Times New Roman" w:hAnsi="Times New Roman" w:cs="Times New Roman"/>
          <w:sz w:val="24"/>
          <w:szCs w:val="24"/>
          <w:lang w:val="en-US"/>
        </w:rPr>
        <w:t xml:space="preserve">publicly </w:t>
      </w:r>
      <w:r w:rsidRPr="00C52FF9">
        <w:rPr>
          <w:rFonts w:ascii="Times New Roman" w:eastAsia="Times New Roman" w:hAnsi="Times New Roman" w:cs="Times New Roman"/>
          <w:sz w:val="24"/>
          <w:szCs w:val="24"/>
          <w:lang w:val="en-US"/>
        </w:rPr>
        <w:t xml:space="preserve">communicate </w:t>
      </w:r>
      <w:r w:rsidR="00240809">
        <w:rPr>
          <w:rFonts w:ascii="Times New Roman" w:eastAsia="Times New Roman" w:hAnsi="Times New Roman" w:cs="Times New Roman"/>
          <w:sz w:val="24"/>
          <w:szCs w:val="24"/>
          <w:lang w:val="en-US"/>
        </w:rPr>
        <w:t xml:space="preserve">about student </w:t>
      </w:r>
      <w:r w:rsidRPr="00C52FF9">
        <w:rPr>
          <w:rFonts w:ascii="Times New Roman" w:eastAsia="Times New Roman" w:hAnsi="Times New Roman" w:cs="Times New Roman"/>
          <w:sz w:val="24"/>
          <w:szCs w:val="24"/>
          <w:lang w:val="en-US"/>
        </w:rPr>
        <w:t>belonging and community</w:t>
      </w:r>
      <w:r w:rsidR="00240809">
        <w:rPr>
          <w:rFonts w:ascii="Times New Roman" w:eastAsia="Times New Roman" w:hAnsi="Times New Roman" w:cs="Times New Roman"/>
          <w:sz w:val="24"/>
          <w:szCs w:val="24"/>
          <w:lang w:val="en-US"/>
        </w:rPr>
        <w:t>.</w:t>
      </w:r>
    </w:p>
    <w:p w14:paraId="12B7056A" w14:textId="77777777" w:rsidR="007F5B3F" w:rsidRDefault="007F5B3F">
      <w:pPr>
        <w:rPr>
          <w:rFonts w:ascii="Times New Roman" w:eastAsia="Times New Roman" w:hAnsi="Times New Roman" w:cs="Times New Roman"/>
          <w:b/>
          <w:bCs/>
          <w:sz w:val="24"/>
          <w:szCs w:val="24"/>
        </w:rPr>
      </w:pPr>
    </w:p>
    <w:p w14:paraId="71B22EC3" w14:textId="77777777" w:rsidR="007E2C49" w:rsidRDefault="007E2C49">
      <w:pPr>
        <w:rPr>
          <w:rFonts w:ascii="Times New Roman" w:eastAsia="Times New Roman" w:hAnsi="Times New Roman" w:cs="Times New Roman"/>
          <w:b/>
          <w:bCs/>
          <w:sz w:val="24"/>
          <w:szCs w:val="24"/>
        </w:rPr>
      </w:pPr>
    </w:p>
    <w:p w14:paraId="5E6165A4" w14:textId="77777777" w:rsidR="007E2C49" w:rsidRDefault="007E2C49">
      <w:pPr>
        <w:rPr>
          <w:rFonts w:ascii="Times New Roman" w:eastAsia="Times New Roman" w:hAnsi="Times New Roman" w:cs="Times New Roman"/>
          <w:b/>
          <w:bCs/>
          <w:sz w:val="24"/>
          <w:szCs w:val="24"/>
        </w:rPr>
      </w:pPr>
    </w:p>
    <w:p w14:paraId="12575C32" w14:textId="5BB8DF75" w:rsidR="007F5B3F"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w:t>
      </w:r>
    </w:p>
    <w:p w14:paraId="3C78B5D8" w14:textId="77777777" w:rsidR="007F5B3F" w:rsidRDefault="00000000">
      <w:pP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Sense of Community Theory (McMillan &amp; Chavis, 1986)</w:t>
      </w:r>
    </w:p>
    <w:p w14:paraId="7DE4E479" w14:textId="77777777" w:rsidR="007F5B3F" w:rsidRDefault="00000000">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474782F" wp14:editId="694BF062">
            <wp:extent cx="5930900" cy="39243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l="1960"/>
                    <a:stretch>
                      <a:fillRect/>
                    </a:stretch>
                  </pic:blipFill>
                  <pic:spPr>
                    <a:xfrm>
                      <a:off x="0" y="0"/>
                      <a:ext cx="5931323" cy="3924580"/>
                    </a:xfrm>
                    <a:prstGeom prst="rect">
                      <a:avLst/>
                    </a:prstGeom>
                    <a:ln/>
                  </pic:spPr>
                </pic:pic>
              </a:graphicData>
            </a:graphic>
          </wp:inline>
        </w:drawing>
      </w:r>
    </w:p>
    <w:p w14:paraId="511E0153" w14:textId="77777777" w:rsidR="007F5B3F" w:rsidRDefault="007F5B3F">
      <w:pPr>
        <w:rPr>
          <w:rFonts w:ascii="Times New Roman" w:eastAsia="Times New Roman" w:hAnsi="Times New Roman" w:cs="Times New Roman"/>
          <w:sz w:val="24"/>
          <w:szCs w:val="24"/>
        </w:rPr>
      </w:pPr>
    </w:p>
    <w:p w14:paraId="0725A14D" w14:textId="19AF16F7" w:rsidR="007F5B3F" w:rsidRDefault="00000000">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Within education research, the SoC Theory has been associated with student engagement, persistence, and identity development (McMillan &amp; Chavis,1986; McMillan, 1996). McMillan (1996) further emphasized</w:t>
      </w:r>
      <w:r w:rsidR="001E552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community </w:t>
      </w:r>
      <w:r w:rsidR="00572877">
        <w:rPr>
          <w:rFonts w:ascii="Times New Roman" w:eastAsia="Times New Roman" w:hAnsi="Times New Roman" w:cs="Times New Roman"/>
          <w:sz w:val="24"/>
          <w:szCs w:val="24"/>
        </w:rPr>
        <w:t xml:space="preserve">can be </w:t>
      </w:r>
      <w:r>
        <w:rPr>
          <w:rFonts w:ascii="Times New Roman" w:eastAsia="Times New Roman" w:hAnsi="Times New Roman" w:cs="Times New Roman"/>
          <w:sz w:val="24"/>
          <w:szCs w:val="24"/>
        </w:rPr>
        <w:t>sustained by symbolic boundaries, shared values, and opportunities for meaningful participation</w:t>
      </w:r>
      <w:r w:rsidR="0057287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features often intentionally cultivated within structured youth organizations. Although the concept of community has been examined extensively in school and community settings, its explicit application in </w:t>
      </w:r>
      <w:r w:rsidR="00BF2A1F">
        <w:rPr>
          <w:rFonts w:ascii="Times New Roman" w:eastAsia="Times New Roman" w:hAnsi="Times New Roman" w:cs="Times New Roman"/>
          <w:sz w:val="24"/>
          <w:szCs w:val="24"/>
        </w:rPr>
        <w:t>CTE</w:t>
      </w:r>
      <w:r>
        <w:rPr>
          <w:rFonts w:ascii="Times New Roman" w:eastAsia="Times New Roman" w:hAnsi="Times New Roman" w:cs="Times New Roman"/>
          <w:sz w:val="24"/>
          <w:szCs w:val="24"/>
        </w:rPr>
        <w:t xml:space="preserve"> and </w:t>
      </w:r>
      <w:r w:rsidR="00BF2A1F">
        <w:rPr>
          <w:rFonts w:ascii="Times New Roman" w:eastAsia="Times New Roman" w:hAnsi="Times New Roman" w:cs="Times New Roman"/>
          <w:sz w:val="24"/>
          <w:szCs w:val="24"/>
        </w:rPr>
        <w:t>CTSOs</w:t>
      </w:r>
      <w:r>
        <w:rPr>
          <w:rFonts w:ascii="Times New Roman" w:eastAsia="Times New Roman" w:hAnsi="Times New Roman" w:cs="Times New Roman"/>
          <w:sz w:val="24"/>
          <w:szCs w:val="24"/>
        </w:rPr>
        <w:t xml:space="preserve"> remains limited. Applying SoC Theory to CTSOs provides a theoretically grounded approach for examining how these organizations communicate and cultivate belonging, particularly through public-facing organizational artifacts such as websites.</w:t>
      </w:r>
    </w:p>
    <w:p w14:paraId="49A9B9C6" w14:textId="77777777" w:rsidR="007F5B3F" w:rsidRDefault="007F5B3F">
      <w:pPr>
        <w:ind w:firstLine="720"/>
        <w:rPr>
          <w:rFonts w:ascii="Times New Roman" w:eastAsia="Times New Roman" w:hAnsi="Times New Roman" w:cs="Times New Roman"/>
          <w:sz w:val="24"/>
          <w:szCs w:val="24"/>
        </w:rPr>
      </w:pPr>
    </w:p>
    <w:p w14:paraId="0F48C09E" w14:textId="77777777" w:rsidR="007F5B3F" w:rsidRDefault="00000000">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Purpose/Objectives/Methods</w:t>
      </w:r>
    </w:p>
    <w:p w14:paraId="75121F26" w14:textId="77777777" w:rsidR="007F5B3F" w:rsidRDefault="007F5B3F">
      <w:pPr>
        <w:jc w:val="center"/>
        <w:rPr>
          <w:rFonts w:ascii="Times New Roman" w:eastAsia="Times New Roman" w:hAnsi="Times New Roman" w:cs="Times New Roman"/>
          <w:b/>
          <w:bCs/>
          <w:sz w:val="24"/>
          <w:szCs w:val="24"/>
        </w:rPr>
      </w:pPr>
    </w:p>
    <w:p w14:paraId="5341E605" w14:textId="49C9D65D" w:rsidR="007F5B3F" w:rsidRDefault="00000000">
      <w:pPr>
        <w:rPr>
          <w:rFonts w:ascii="Times New Roman" w:eastAsia="Times New Roman" w:hAnsi="Times New Roman" w:cs="Times New Roman"/>
          <w:color w:val="1E293B"/>
          <w:sz w:val="24"/>
          <w:szCs w:val="24"/>
        </w:rPr>
      </w:pPr>
      <w:r>
        <w:rPr>
          <w:rFonts w:ascii="Times New Roman" w:eastAsia="Times New Roman" w:hAnsi="Times New Roman" w:cs="Times New Roman"/>
          <w:sz w:val="24"/>
          <w:szCs w:val="24"/>
        </w:rPr>
        <w:tab/>
        <w:t xml:space="preserve">This qualitative study utilized content analysis to analyze the websites of all organizations that are part of the </w:t>
      </w:r>
      <w:r>
        <w:rPr>
          <w:rFonts w:ascii="Times New Roman" w:eastAsia="Times New Roman" w:hAnsi="Times New Roman" w:cs="Times New Roman"/>
          <w:color w:val="1E293B"/>
          <w:sz w:val="24"/>
          <w:szCs w:val="24"/>
        </w:rPr>
        <w:t>NCCCTSO. The following organizations were analyzed: Business Professionals of America (BPA), Distributive Education Clubs of America (DECA), Future Business Leaders of American (FBLA</w:t>
      </w:r>
      <w:r w:rsidR="00297F23">
        <w:rPr>
          <w:rFonts w:ascii="Times New Roman" w:eastAsia="Times New Roman" w:hAnsi="Times New Roman" w:cs="Times New Roman"/>
          <w:color w:val="1E293B"/>
          <w:sz w:val="24"/>
          <w:szCs w:val="24"/>
        </w:rPr>
        <w:t>), Family</w:t>
      </w:r>
      <w:r>
        <w:rPr>
          <w:rFonts w:ascii="Times New Roman" w:eastAsia="Times New Roman" w:hAnsi="Times New Roman" w:cs="Times New Roman"/>
          <w:color w:val="1E293B"/>
          <w:sz w:val="24"/>
          <w:szCs w:val="24"/>
        </w:rPr>
        <w:t xml:space="preserve"> Career and Community Leaders of America (FCCLA), National FFA (FFA), Future Health Professionals (HOSA), National Professional Agricultural Student Organization (National PAS), SkillsUSA, and Technology Student Association (TSA). Each website was analyzed for evidence of the SoC Theory tenets, including membership, influence, fulfillment of needs, and emotional connection that would work toward building a sense of belonging for the students involved in these organizations. The overall objectives of this study include:</w:t>
      </w:r>
    </w:p>
    <w:p w14:paraId="22223957" w14:textId="77777777" w:rsidR="007F5B3F" w:rsidRDefault="00000000">
      <w:pPr>
        <w:numPr>
          <w:ilvl w:val="0"/>
          <w:numId w:val="4"/>
        </w:numPr>
        <w:rPr>
          <w:rFonts w:ascii="Times New Roman" w:eastAsia="Times New Roman" w:hAnsi="Times New Roman" w:cs="Times New Roman"/>
          <w:color w:val="1E293B"/>
          <w:sz w:val="24"/>
          <w:szCs w:val="24"/>
        </w:rPr>
      </w:pPr>
      <w:r>
        <w:rPr>
          <w:rFonts w:ascii="Times New Roman" w:eastAsia="Times New Roman" w:hAnsi="Times New Roman" w:cs="Times New Roman"/>
          <w:color w:val="1E293B"/>
          <w:sz w:val="24"/>
          <w:szCs w:val="24"/>
        </w:rPr>
        <w:t>Determine how each CTSO fosters a sense of belonging among its members, based on information shared on its website.</w:t>
      </w:r>
    </w:p>
    <w:p w14:paraId="612E55FA" w14:textId="06243C10" w:rsidR="007F5B3F" w:rsidRPr="00264709" w:rsidRDefault="00000000" w:rsidP="00264709">
      <w:pPr>
        <w:numPr>
          <w:ilvl w:val="0"/>
          <w:numId w:val="4"/>
        </w:numPr>
        <w:rPr>
          <w:rFonts w:ascii="Times New Roman" w:eastAsia="Times New Roman" w:hAnsi="Times New Roman" w:cs="Times New Roman"/>
          <w:color w:val="1E293B"/>
          <w:sz w:val="24"/>
          <w:szCs w:val="24"/>
        </w:rPr>
      </w:pPr>
      <w:r>
        <w:rPr>
          <w:rFonts w:ascii="Times New Roman" w:eastAsia="Times New Roman" w:hAnsi="Times New Roman" w:cs="Times New Roman"/>
          <w:color w:val="1E293B"/>
          <w:sz w:val="24"/>
          <w:szCs w:val="24"/>
        </w:rPr>
        <w:t>Identify similarities and differences in how CTSOs create a sense of belonging for their members.</w:t>
      </w:r>
    </w:p>
    <w:p w14:paraId="42017028" w14:textId="77777777" w:rsidR="00240809" w:rsidRDefault="00240809">
      <w:pPr>
        <w:rPr>
          <w:rFonts w:ascii="Times New Roman" w:eastAsia="Times New Roman" w:hAnsi="Times New Roman" w:cs="Times New Roman"/>
          <w:b/>
          <w:bCs/>
          <w:sz w:val="24"/>
          <w:szCs w:val="24"/>
        </w:rPr>
      </w:pPr>
    </w:p>
    <w:p w14:paraId="6171D1EF" w14:textId="37869B52" w:rsidR="007F5B3F"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Analysis Techniques and Trustworthiness of the Study</w:t>
      </w:r>
    </w:p>
    <w:p w14:paraId="32CA8C1B" w14:textId="79D5D9D1" w:rsidR="007F5B3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While analyzing and summarizing the websites' content, the researcher conducted a qualitative analysis using the constant comparative technique (Lincoln &amp; Guba, 1985). This analysis style was selected because it works well with data collections that involve “...continuous and simultaneous collection and processing of data” (Lincoln &amp; Guba, p. 335, 1985). Furthermore, the information on the CTSO websites</w:t>
      </w:r>
      <w:r w:rsidR="00572877">
        <w:rPr>
          <w:rFonts w:ascii="Times New Roman" w:eastAsia="Times New Roman" w:hAnsi="Times New Roman" w:cs="Times New Roman"/>
          <w:sz w:val="24"/>
          <w:szCs w:val="24"/>
        </w:rPr>
        <w:t xml:space="preserve"> were</w:t>
      </w:r>
      <w:r>
        <w:rPr>
          <w:rFonts w:ascii="Times New Roman" w:eastAsia="Times New Roman" w:hAnsi="Times New Roman" w:cs="Times New Roman"/>
          <w:sz w:val="24"/>
          <w:szCs w:val="24"/>
        </w:rPr>
        <w:t xml:space="preserve"> considered throughout the data collection process through a lens that included a clear, consistent definition of the SoC Theory to determine which phrases and concepts were added for consideration during the results phase of the study.</w:t>
      </w:r>
      <w:r w:rsidR="00572877">
        <w:rPr>
          <w:rFonts w:ascii="Times New Roman" w:eastAsia="Times New Roman" w:hAnsi="Times New Roman" w:cs="Times New Roman"/>
          <w:sz w:val="24"/>
          <w:szCs w:val="24"/>
        </w:rPr>
        <w:t xml:space="preserve"> The data </w:t>
      </w:r>
      <w:proofErr w:type="gramStart"/>
      <w:r w:rsidR="00572877">
        <w:rPr>
          <w:rFonts w:ascii="Times New Roman" w:eastAsia="Times New Roman" w:hAnsi="Times New Roman" w:cs="Times New Roman"/>
          <w:sz w:val="24"/>
          <w:szCs w:val="24"/>
        </w:rPr>
        <w:t>was collected</w:t>
      </w:r>
      <w:proofErr w:type="gramEnd"/>
      <w:r w:rsidR="00572877">
        <w:rPr>
          <w:rFonts w:ascii="Times New Roman" w:eastAsia="Times New Roman" w:hAnsi="Times New Roman" w:cs="Times New Roman"/>
          <w:sz w:val="24"/>
          <w:szCs w:val="24"/>
        </w:rPr>
        <w:t xml:space="preserve"> throughout a week-long analysis process from November 17-24, 2025.</w:t>
      </w:r>
    </w:p>
    <w:p w14:paraId="092FF1E8" w14:textId="31B2ECA9" w:rsidR="007F5B3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When reviewing the websites, the researcher carefully ensured that each website </w:t>
      </w:r>
      <w:proofErr w:type="gramStart"/>
      <w:r>
        <w:rPr>
          <w:rFonts w:ascii="Times New Roman" w:eastAsia="Times New Roman" w:hAnsi="Times New Roman" w:cs="Times New Roman"/>
          <w:sz w:val="24"/>
          <w:szCs w:val="24"/>
        </w:rPr>
        <w:t xml:space="preserve">was </w:t>
      </w:r>
      <w:r w:rsidR="00297F23">
        <w:rPr>
          <w:rFonts w:ascii="Times New Roman" w:eastAsia="Times New Roman" w:hAnsi="Times New Roman" w:cs="Times New Roman"/>
          <w:sz w:val="24"/>
          <w:szCs w:val="24"/>
        </w:rPr>
        <w:t>analyzed</w:t>
      </w:r>
      <w:proofErr w:type="gramEnd"/>
      <w:r w:rsidR="00297F2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that pertinent information was recorded for inclusion in the study's results section. Once the content analysis for each website was completed, the researcher compiled a detailed list of how the tenets of the SoC Theory were applied to each organization. Next, the researcher debriefed about the content analysis to ensure it accurately reflected the information on the CTSO websites. Finally, the researcher employed best practices from Lincoln and Guba (1985) to ensure trustworthiness throughout this </w:t>
      </w:r>
      <w:r w:rsidR="00BF2A1F">
        <w:rPr>
          <w:rFonts w:ascii="Times New Roman" w:eastAsia="Times New Roman" w:hAnsi="Times New Roman" w:cs="Times New Roman"/>
          <w:sz w:val="24"/>
          <w:szCs w:val="24"/>
        </w:rPr>
        <w:t>analysis</w:t>
      </w:r>
      <w:r>
        <w:rPr>
          <w:rFonts w:ascii="Times New Roman" w:eastAsia="Times New Roman" w:hAnsi="Times New Roman" w:cs="Times New Roman"/>
          <w:sz w:val="24"/>
          <w:szCs w:val="24"/>
        </w:rPr>
        <w:t>. The researcher checked and debriefed to ensure perspective-taking and bracketed their personal to ensure the study's credibility. Dependability was established through search criteria, analysis methods, and the inclusion of article details from included manuscripts.</w:t>
      </w:r>
      <w:r w:rsidR="00297F2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table below provides the key that was used to analyze website content for each of the four pillars of the SoC Theory.</w:t>
      </w:r>
    </w:p>
    <w:p w14:paraId="0F601432" w14:textId="77777777" w:rsidR="007F5B3F" w:rsidRDefault="007F5B3F">
      <w:pPr>
        <w:rPr>
          <w:rFonts w:ascii="Times New Roman" w:eastAsia="Times New Roman" w:hAnsi="Times New Roman" w:cs="Times New Roman"/>
          <w:sz w:val="24"/>
          <w:szCs w:val="24"/>
        </w:rPr>
      </w:pPr>
    </w:p>
    <w:p w14:paraId="73F37D81" w14:textId="77777777" w:rsidR="007F5B3F"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1</w:t>
      </w:r>
    </w:p>
    <w:p w14:paraId="5F22B8AB" w14:textId="77777777" w:rsidR="007F5B3F" w:rsidRDefault="00000000">
      <w:pP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Content Analysis Coding Indicator Samples</w:t>
      </w:r>
    </w:p>
    <w:p w14:paraId="52136D3C" w14:textId="77777777" w:rsidR="007F5B3F" w:rsidRDefault="007F5B3F">
      <w:pPr>
        <w:rPr>
          <w:rFonts w:ascii="Times New Roman" w:eastAsia="Times New Roman" w:hAnsi="Times New Roman" w:cs="Times New Roman"/>
          <w:sz w:val="24"/>
          <w:szCs w:val="24"/>
        </w:rPr>
      </w:pPr>
    </w:p>
    <w:tbl>
      <w:tblPr>
        <w:tblStyle w:val="a"/>
        <w:tblW w:w="9890" w:type="dxa"/>
        <w:tblInd w:w="0" w:type="dxa"/>
        <w:tblBorders>
          <w:top w:val="single" w:sz="8" w:space="0" w:color="000000"/>
          <w:bottom w:val="single" w:sz="8" w:space="0" w:color="000000"/>
        </w:tblBorders>
        <w:tblLayout w:type="fixed"/>
        <w:tblLook w:val="0600" w:firstRow="0" w:lastRow="0" w:firstColumn="0" w:lastColumn="0" w:noHBand="1" w:noVBand="1"/>
      </w:tblPr>
      <w:tblGrid>
        <w:gridCol w:w="3135"/>
        <w:gridCol w:w="6755"/>
      </w:tblGrid>
      <w:tr w:rsidR="007F5B3F" w14:paraId="4EDA0F36" w14:textId="77777777" w:rsidTr="007F08C3">
        <w:tc>
          <w:tcPr>
            <w:tcW w:w="3135" w:type="dxa"/>
            <w:tcBorders>
              <w:top w:val="single" w:sz="8" w:space="0" w:color="000000"/>
              <w:bottom w:val="single" w:sz="4" w:space="0" w:color="auto"/>
            </w:tcBorders>
            <w:shd w:val="clear" w:color="auto" w:fill="auto"/>
            <w:tcMar>
              <w:top w:w="100" w:type="dxa"/>
              <w:left w:w="100" w:type="dxa"/>
              <w:bottom w:w="100" w:type="dxa"/>
              <w:right w:w="100" w:type="dxa"/>
            </w:tcMar>
          </w:tcPr>
          <w:p w14:paraId="4E526CF7" w14:textId="77777777" w:rsidR="007F5B3F"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Theory Pillar</w:t>
            </w:r>
          </w:p>
        </w:tc>
        <w:tc>
          <w:tcPr>
            <w:tcW w:w="6755" w:type="dxa"/>
            <w:tcBorders>
              <w:top w:val="single" w:sz="8" w:space="0" w:color="000000"/>
              <w:bottom w:val="single" w:sz="4" w:space="0" w:color="auto"/>
            </w:tcBorders>
            <w:shd w:val="clear" w:color="auto" w:fill="auto"/>
            <w:tcMar>
              <w:top w:w="100" w:type="dxa"/>
              <w:left w:w="100" w:type="dxa"/>
              <w:bottom w:w="100" w:type="dxa"/>
              <w:right w:w="100" w:type="dxa"/>
            </w:tcMar>
          </w:tcPr>
          <w:p w14:paraId="4B2B1539" w14:textId="77777777" w:rsidR="007F5B3F"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Coding Indicator Samples</w:t>
            </w:r>
          </w:p>
        </w:tc>
      </w:tr>
      <w:tr w:rsidR="007F5B3F" w14:paraId="20283515" w14:textId="77777777" w:rsidTr="007F08C3">
        <w:tc>
          <w:tcPr>
            <w:tcW w:w="3135" w:type="dxa"/>
            <w:tcBorders>
              <w:top w:val="single" w:sz="4" w:space="0" w:color="auto"/>
              <w:bottom w:val="nil"/>
            </w:tcBorders>
            <w:shd w:val="clear" w:color="auto" w:fill="auto"/>
            <w:tcMar>
              <w:top w:w="100" w:type="dxa"/>
              <w:left w:w="100" w:type="dxa"/>
              <w:bottom w:w="100" w:type="dxa"/>
              <w:right w:w="100" w:type="dxa"/>
            </w:tcMar>
          </w:tcPr>
          <w:p w14:paraId="1E866CDA" w14:textId="77777777" w:rsidR="007F5B3F"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Membership</w:t>
            </w:r>
          </w:p>
        </w:tc>
        <w:tc>
          <w:tcPr>
            <w:tcW w:w="6755" w:type="dxa"/>
            <w:tcBorders>
              <w:top w:val="single" w:sz="4" w:space="0" w:color="auto"/>
              <w:bottom w:val="nil"/>
            </w:tcBorders>
            <w:shd w:val="clear" w:color="auto" w:fill="auto"/>
            <w:tcMar>
              <w:top w:w="100" w:type="dxa"/>
              <w:left w:w="100" w:type="dxa"/>
              <w:bottom w:w="100" w:type="dxa"/>
              <w:right w:w="100" w:type="dxa"/>
            </w:tcMar>
          </w:tcPr>
          <w:p w14:paraId="260A9FB1" w14:textId="5A0B6786" w:rsidR="007F5B3F" w:rsidRDefault="00000000">
            <w:pPr>
              <w:widowControl w:val="0"/>
              <w:numPr>
                <w:ilvl w:val="0"/>
                <w:numId w:val="1"/>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References to “members</w:t>
            </w:r>
            <w:r w:rsidR="0024080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“chapters</w:t>
            </w:r>
            <w:r w:rsidR="0024080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or “</w:t>
            </w:r>
            <w:r w:rsidR="006A102E">
              <w:rPr>
                <w:rFonts w:ascii="Times New Roman" w:eastAsia="Times New Roman" w:hAnsi="Times New Roman" w:cs="Times New Roman"/>
                <w:sz w:val="24"/>
                <w:szCs w:val="24"/>
              </w:rPr>
              <w:t>joining.</w:t>
            </w:r>
          </w:p>
          <w:p w14:paraId="009D217F" w14:textId="77777777" w:rsidR="007F5B3F" w:rsidRDefault="00000000">
            <w:pPr>
              <w:widowControl w:val="0"/>
              <w:numPr>
                <w:ilvl w:val="0"/>
                <w:numId w:val="1"/>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Description of affiliation or eligibility</w:t>
            </w:r>
          </w:p>
          <w:p w14:paraId="271AB099" w14:textId="2A9F49E1" w:rsidR="007F5B3F" w:rsidRDefault="00000000">
            <w:pPr>
              <w:widowControl w:val="0"/>
              <w:numPr>
                <w:ilvl w:val="0"/>
                <w:numId w:val="1"/>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Organizational symbols</w:t>
            </w:r>
            <w:r w:rsidR="007F08C3">
              <w:rPr>
                <w:rFonts w:ascii="Times New Roman" w:eastAsia="Times New Roman" w:hAnsi="Times New Roman" w:cs="Times New Roman"/>
                <w:sz w:val="24"/>
                <w:szCs w:val="24"/>
              </w:rPr>
              <w:t xml:space="preserve"> or language</w:t>
            </w:r>
          </w:p>
          <w:p w14:paraId="7AD03257" w14:textId="77777777" w:rsidR="007F5B3F" w:rsidRDefault="00000000">
            <w:pPr>
              <w:widowControl w:val="0"/>
              <w:numPr>
                <w:ilvl w:val="0"/>
                <w:numId w:val="1"/>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Organizational statements of identity</w:t>
            </w:r>
          </w:p>
        </w:tc>
      </w:tr>
      <w:tr w:rsidR="007F5B3F" w14:paraId="04C40A17" w14:textId="77777777" w:rsidTr="007F08C3">
        <w:tc>
          <w:tcPr>
            <w:tcW w:w="3135" w:type="dxa"/>
            <w:tcBorders>
              <w:top w:val="nil"/>
              <w:bottom w:val="nil"/>
            </w:tcBorders>
            <w:shd w:val="clear" w:color="auto" w:fill="auto"/>
            <w:tcMar>
              <w:top w:w="100" w:type="dxa"/>
              <w:left w:w="100" w:type="dxa"/>
              <w:bottom w:w="100" w:type="dxa"/>
              <w:right w:w="100" w:type="dxa"/>
            </w:tcMar>
          </w:tcPr>
          <w:p w14:paraId="41893BAC" w14:textId="77777777" w:rsidR="007F5B3F"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Influence</w:t>
            </w:r>
          </w:p>
        </w:tc>
        <w:tc>
          <w:tcPr>
            <w:tcW w:w="6755" w:type="dxa"/>
            <w:tcBorders>
              <w:top w:val="nil"/>
              <w:bottom w:val="nil"/>
            </w:tcBorders>
            <w:shd w:val="clear" w:color="auto" w:fill="auto"/>
            <w:tcMar>
              <w:top w:w="100" w:type="dxa"/>
              <w:left w:w="100" w:type="dxa"/>
              <w:bottom w:w="100" w:type="dxa"/>
              <w:right w:w="100" w:type="dxa"/>
            </w:tcMar>
          </w:tcPr>
          <w:p w14:paraId="48C3158B" w14:textId="77777777" w:rsidR="007F5B3F" w:rsidRDefault="00000000">
            <w:pPr>
              <w:widowControl w:val="0"/>
              <w:numPr>
                <w:ilvl w:val="0"/>
                <w:numId w:val="3"/>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Descriptions of leadership roles</w:t>
            </w:r>
          </w:p>
          <w:p w14:paraId="7F1E4A16" w14:textId="77777777" w:rsidR="007F5B3F" w:rsidRDefault="00000000">
            <w:pPr>
              <w:widowControl w:val="0"/>
              <w:numPr>
                <w:ilvl w:val="0"/>
                <w:numId w:val="3"/>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References to student voice or decision-making</w:t>
            </w:r>
          </w:p>
          <w:p w14:paraId="480D30F7" w14:textId="77777777" w:rsidR="007F5B3F" w:rsidRDefault="00000000">
            <w:pPr>
              <w:widowControl w:val="0"/>
              <w:numPr>
                <w:ilvl w:val="0"/>
                <w:numId w:val="3"/>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Promotion of events or projects requiring active participation</w:t>
            </w:r>
          </w:p>
          <w:p w14:paraId="3D1C610D" w14:textId="77777777" w:rsidR="007F5B3F" w:rsidRDefault="00000000">
            <w:pPr>
              <w:widowControl w:val="0"/>
              <w:numPr>
                <w:ilvl w:val="0"/>
                <w:numId w:val="3"/>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Highlights of member actions impacting their community or organization</w:t>
            </w:r>
          </w:p>
        </w:tc>
      </w:tr>
      <w:tr w:rsidR="007F5B3F" w14:paraId="226620AF" w14:textId="77777777" w:rsidTr="007F08C3">
        <w:tc>
          <w:tcPr>
            <w:tcW w:w="3135" w:type="dxa"/>
            <w:tcBorders>
              <w:top w:val="nil"/>
              <w:bottom w:val="nil"/>
            </w:tcBorders>
            <w:shd w:val="clear" w:color="auto" w:fill="auto"/>
            <w:tcMar>
              <w:top w:w="100" w:type="dxa"/>
              <w:left w:w="100" w:type="dxa"/>
              <w:bottom w:w="100" w:type="dxa"/>
              <w:right w:w="100" w:type="dxa"/>
            </w:tcMar>
          </w:tcPr>
          <w:p w14:paraId="6FC3CA14" w14:textId="77777777" w:rsidR="007F5B3F"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Integration &amp; Fulfillment of Needs</w:t>
            </w:r>
          </w:p>
        </w:tc>
        <w:tc>
          <w:tcPr>
            <w:tcW w:w="6755" w:type="dxa"/>
            <w:tcBorders>
              <w:top w:val="nil"/>
              <w:bottom w:val="nil"/>
            </w:tcBorders>
            <w:shd w:val="clear" w:color="auto" w:fill="auto"/>
            <w:tcMar>
              <w:top w:w="100" w:type="dxa"/>
              <w:left w:w="100" w:type="dxa"/>
              <w:bottom w:w="100" w:type="dxa"/>
              <w:right w:w="100" w:type="dxa"/>
            </w:tcMar>
          </w:tcPr>
          <w:p w14:paraId="452C442C" w14:textId="77777777" w:rsidR="007F5B3F" w:rsidRDefault="00000000">
            <w:pPr>
              <w:widowControl w:val="0"/>
              <w:numPr>
                <w:ilvl w:val="0"/>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Claims about career readiness or workforce preparation</w:t>
            </w:r>
          </w:p>
          <w:p w14:paraId="4E401CD5" w14:textId="3592E9B6" w:rsidR="007F5B3F" w:rsidRDefault="00000000">
            <w:pPr>
              <w:widowControl w:val="0"/>
              <w:numPr>
                <w:ilvl w:val="0"/>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Ways the organization seeks to address the needs of each student or chapter in the </w:t>
            </w:r>
            <w:r w:rsidR="006A102E">
              <w:rPr>
                <w:rFonts w:ascii="Times New Roman" w:eastAsia="Times New Roman" w:hAnsi="Times New Roman" w:cs="Times New Roman"/>
                <w:sz w:val="24"/>
                <w:szCs w:val="24"/>
              </w:rPr>
              <w:t>organization.</w:t>
            </w:r>
          </w:p>
          <w:p w14:paraId="0C9EF0D9" w14:textId="77777777" w:rsidR="007F5B3F" w:rsidRDefault="00000000">
            <w:pPr>
              <w:widowControl w:val="0"/>
              <w:numPr>
                <w:ilvl w:val="0"/>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References to certificates, credentials, or scholarships</w:t>
            </w:r>
          </w:p>
          <w:p w14:paraId="488A63A9" w14:textId="77777777" w:rsidR="007F5B3F" w:rsidRDefault="00000000">
            <w:pPr>
              <w:widowControl w:val="0"/>
              <w:numPr>
                <w:ilvl w:val="0"/>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Alignment with industry standards</w:t>
            </w:r>
          </w:p>
          <w:p w14:paraId="001E3865" w14:textId="77777777" w:rsidR="007F5B3F" w:rsidRDefault="00000000">
            <w:pPr>
              <w:widowControl w:val="0"/>
              <w:numPr>
                <w:ilvl w:val="0"/>
                <w:numId w:val="5"/>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Information about how activities benefit students</w:t>
            </w:r>
          </w:p>
        </w:tc>
      </w:tr>
      <w:tr w:rsidR="007F5B3F" w14:paraId="32BDD3D0" w14:textId="77777777" w:rsidTr="007F08C3">
        <w:tc>
          <w:tcPr>
            <w:tcW w:w="3135" w:type="dxa"/>
            <w:tcBorders>
              <w:top w:val="nil"/>
            </w:tcBorders>
            <w:shd w:val="clear" w:color="auto" w:fill="auto"/>
            <w:tcMar>
              <w:top w:w="100" w:type="dxa"/>
              <w:left w:w="100" w:type="dxa"/>
              <w:bottom w:w="100" w:type="dxa"/>
              <w:right w:w="100" w:type="dxa"/>
            </w:tcMar>
          </w:tcPr>
          <w:p w14:paraId="43009093" w14:textId="77777777" w:rsidR="007F5B3F" w:rsidRDefault="00000000">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Shared Emotional Connection</w:t>
            </w:r>
          </w:p>
        </w:tc>
        <w:tc>
          <w:tcPr>
            <w:tcW w:w="6755" w:type="dxa"/>
            <w:tcBorders>
              <w:top w:val="nil"/>
            </w:tcBorders>
            <w:shd w:val="clear" w:color="auto" w:fill="auto"/>
            <w:tcMar>
              <w:top w:w="100" w:type="dxa"/>
              <w:left w:w="100" w:type="dxa"/>
              <w:bottom w:w="100" w:type="dxa"/>
              <w:right w:w="100" w:type="dxa"/>
            </w:tcMar>
          </w:tcPr>
          <w:p w14:paraId="07B725B5" w14:textId="77777777" w:rsidR="007F5B3F" w:rsidRDefault="00000000">
            <w:pPr>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References to conferences, competitions, or events</w:t>
            </w:r>
          </w:p>
          <w:p w14:paraId="182E3D1D" w14:textId="77777777" w:rsidR="007F5B3F" w:rsidRDefault="00000000">
            <w:pPr>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Testimonials or success stories</w:t>
            </w:r>
          </w:p>
          <w:p w14:paraId="40EB4964" w14:textId="77777777" w:rsidR="007F5B3F" w:rsidRDefault="00000000">
            <w:pPr>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Historical information about the organization</w:t>
            </w:r>
          </w:p>
          <w:p w14:paraId="1D6B6296" w14:textId="77777777" w:rsidR="007F5B3F" w:rsidRDefault="00000000">
            <w:pPr>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Celebrations of achievements</w:t>
            </w:r>
          </w:p>
          <w:p w14:paraId="3BB1E57E" w14:textId="77777777" w:rsidR="007F5B3F" w:rsidRDefault="00000000">
            <w:pPr>
              <w:widowControl w:val="0"/>
              <w:numPr>
                <w:ilvl w:val="0"/>
                <w:numId w:val="2"/>
              </w:numPr>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Information about areas of pride, tradition, or shared experiences</w:t>
            </w:r>
          </w:p>
        </w:tc>
      </w:tr>
    </w:tbl>
    <w:p w14:paraId="5E10BCAB" w14:textId="077B7FCD" w:rsidR="007D671F" w:rsidRPr="007E2C49" w:rsidRDefault="007E2C49">
      <w:pPr>
        <w:rPr>
          <w:rFonts w:ascii="Times New Roman" w:eastAsia="Times New Roman" w:hAnsi="Times New Roman" w:cs="Times New Roman"/>
          <w:i/>
          <w:iCs/>
          <w:sz w:val="24"/>
          <w:szCs w:val="24"/>
        </w:rPr>
      </w:pPr>
      <w:r w:rsidRPr="007E2C49">
        <w:rPr>
          <w:rFonts w:ascii="Times New Roman" w:eastAsia="Times New Roman" w:hAnsi="Times New Roman" w:cs="Times New Roman"/>
          <w:i/>
          <w:iCs/>
          <w:sz w:val="24"/>
          <w:szCs w:val="24"/>
        </w:rPr>
        <w:t xml:space="preserve">Note: Only aspects found on the websites will </w:t>
      </w:r>
      <w:proofErr w:type="gramStart"/>
      <w:r w:rsidRPr="007E2C49">
        <w:rPr>
          <w:rFonts w:ascii="Times New Roman" w:eastAsia="Times New Roman" w:hAnsi="Times New Roman" w:cs="Times New Roman"/>
          <w:i/>
          <w:iCs/>
          <w:sz w:val="24"/>
          <w:szCs w:val="24"/>
        </w:rPr>
        <w:t>be discussed</w:t>
      </w:r>
      <w:proofErr w:type="gramEnd"/>
      <w:r w:rsidRPr="007E2C49">
        <w:rPr>
          <w:rFonts w:ascii="Times New Roman" w:eastAsia="Times New Roman" w:hAnsi="Times New Roman" w:cs="Times New Roman"/>
          <w:i/>
          <w:iCs/>
          <w:sz w:val="24"/>
          <w:szCs w:val="24"/>
        </w:rPr>
        <w:t xml:space="preserve"> in this study.</w:t>
      </w:r>
    </w:p>
    <w:p w14:paraId="38849E1B" w14:textId="77777777" w:rsidR="007E2C49" w:rsidRDefault="007E2C49">
      <w:pPr>
        <w:rPr>
          <w:rFonts w:ascii="Times New Roman" w:eastAsia="Times New Roman" w:hAnsi="Times New Roman" w:cs="Times New Roman"/>
          <w:b/>
          <w:bCs/>
          <w:sz w:val="24"/>
          <w:szCs w:val="24"/>
        </w:rPr>
      </w:pPr>
    </w:p>
    <w:p w14:paraId="5AC8CB9C" w14:textId="27E287E8" w:rsidR="00557603"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Reflexivity </w:t>
      </w:r>
    </w:p>
    <w:p w14:paraId="7FBF2EBC" w14:textId="77777777" w:rsidR="007F5B3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research team was comprised of a former SBAE teacher and a current teacher educator. Given the researcher's close connection to FFA and CTSOs, the researcher intentionally reflected on the analysis to ensure reflexivity throughout the study (Lincoln &amp; Guba, 1985).</w:t>
      </w:r>
    </w:p>
    <w:p w14:paraId="6470CC52" w14:textId="77777777" w:rsidR="007F5B3F" w:rsidRDefault="007F5B3F">
      <w:pPr>
        <w:jc w:val="center"/>
        <w:rPr>
          <w:rFonts w:ascii="Times New Roman" w:eastAsia="Times New Roman" w:hAnsi="Times New Roman" w:cs="Times New Roman"/>
          <w:b/>
          <w:bCs/>
          <w:sz w:val="24"/>
          <w:szCs w:val="24"/>
        </w:rPr>
      </w:pPr>
    </w:p>
    <w:p w14:paraId="565B4087" w14:textId="77777777" w:rsidR="007F5B3F" w:rsidRDefault="00000000">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Results/Findings</w:t>
      </w:r>
    </w:p>
    <w:p w14:paraId="4ADF55F9" w14:textId="53229B52" w:rsidR="007F5B3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Utilizing the publicly available content on each CTSO’s </w:t>
      </w:r>
      <w:r w:rsidR="00240809">
        <w:rPr>
          <w:rFonts w:ascii="Times New Roman" w:eastAsia="Times New Roman" w:hAnsi="Times New Roman" w:cs="Times New Roman"/>
          <w:sz w:val="24"/>
          <w:szCs w:val="24"/>
        </w:rPr>
        <w:t>public website</w:t>
      </w:r>
      <w:r>
        <w:rPr>
          <w:rFonts w:ascii="Times New Roman" w:eastAsia="Times New Roman" w:hAnsi="Times New Roman" w:cs="Times New Roman"/>
          <w:sz w:val="24"/>
          <w:szCs w:val="24"/>
        </w:rPr>
        <w:t xml:space="preserve">. The results will </w:t>
      </w:r>
      <w:proofErr w:type="gramStart"/>
      <w:r>
        <w:rPr>
          <w:rFonts w:ascii="Times New Roman" w:eastAsia="Times New Roman" w:hAnsi="Times New Roman" w:cs="Times New Roman"/>
          <w:sz w:val="24"/>
          <w:szCs w:val="24"/>
        </w:rPr>
        <w:t>be unpacked</w:t>
      </w:r>
      <w:proofErr w:type="gramEnd"/>
      <w:r>
        <w:rPr>
          <w:rFonts w:ascii="Times New Roman" w:eastAsia="Times New Roman" w:hAnsi="Times New Roman" w:cs="Times New Roman"/>
          <w:sz w:val="24"/>
          <w:szCs w:val="24"/>
        </w:rPr>
        <w:t xml:space="preserve"> by grouping content according to the four tenets of the SoC Theory. </w:t>
      </w:r>
    </w:p>
    <w:p w14:paraId="2EA3C3E5" w14:textId="77777777" w:rsidR="00240809" w:rsidRDefault="00240809">
      <w:pPr>
        <w:rPr>
          <w:rFonts w:ascii="Times New Roman" w:eastAsia="Times New Roman" w:hAnsi="Times New Roman" w:cs="Times New Roman"/>
          <w:b/>
          <w:bCs/>
          <w:sz w:val="24"/>
          <w:szCs w:val="24"/>
        </w:rPr>
      </w:pPr>
    </w:p>
    <w:p w14:paraId="54D5EC75" w14:textId="4C38806D" w:rsidR="00557603"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Membership</w:t>
      </w:r>
    </w:p>
    <w:p w14:paraId="03972092" w14:textId="02DB87D0" w:rsidR="007F5B3F" w:rsidRDefault="00000000">
      <w:pP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b/>
      </w:r>
      <w:proofErr w:type="gramStart"/>
      <w:r>
        <w:rPr>
          <w:rFonts w:ascii="Times New Roman" w:eastAsia="Times New Roman" w:hAnsi="Times New Roman" w:cs="Times New Roman"/>
          <w:sz w:val="24"/>
          <w:szCs w:val="24"/>
        </w:rPr>
        <w:t>In reviewing the websites of each organization, it</w:t>
      </w:r>
      <w:proofErr w:type="gramEnd"/>
      <w:r>
        <w:rPr>
          <w:rFonts w:ascii="Times New Roman" w:eastAsia="Times New Roman" w:hAnsi="Times New Roman" w:cs="Times New Roman"/>
          <w:sz w:val="24"/>
          <w:szCs w:val="24"/>
        </w:rPr>
        <w:t xml:space="preserve"> was clear that extensive content was developed to provide information on membership-related topics. Each organization provided information on how to start a new chapter, how to locate and join a chapter, and engagement opportunities for students, teachers (or advisors), and alumni. However, the makeup of each organization's membership was unique. While all organizations had chapters in the United States, some also had international audiences. Some organizations had extensive information about membership for middle school-aged students, while others were only for high school or college students. </w:t>
      </w:r>
      <w:r w:rsidR="00572877">
        <w:rPr>
          <w:rFonts w:ascii="Times New Roman" w:eastAsia="Times New Roman" w:hAnsi="Times New Roman" w:cs="Times New Roman"/>
          <w:sz w:val="24"/>
          <w:szCs w:val="24"/>
        </w:rPr>
        <w:t>Most</w:t>
      </w:r>
      <w:r>
        <w:rPr>
          <w:rFonts w:ascii="Times New Roman" w:eastAsia="Times New Roman" w:hAnsi="Times New Roman" w:cs="Times New Roman"/>
          <w:sz w:val="24"/>
          <w:szCs w:val="24"/>
        </w:rPr>
        <w:t xml:space="preserve"> organizations provided rough estimates of their membership, while a few provided exact numbers or provided no information about their organization's size. Some organizations provided numbers on chapters and advisors, but most did not address this aspect of their membership. The table below summarizes the contents of the websites. </w:t>
      </w:r>
    </w:p>
    <w:p w14:paraId="57C93C02" w14:textId="77777777" w:rsidR="007F5B3F" w:rsidRDefault="007F5B3F">
      <w:pPr>
        <w:rPr>
          <w:rFonts w:ascii="Times New Roman" w:eastAsia="Times New Roman" w:hAnsi="Times New Roman" w:cs="Times New Roman"/>
          <w:sz w:val="24"/>
          <w:szCs w:val="24"/>
        </w:rPr>
      </w:pPr>
    </w:p>
    <w:p w14:paraId="5E0FF0B1" w14:textId="77777777" w:rsidR="007F5B3F"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2</w:t>
      </w:r>
    </w:p>
    <w:p w14:paraId="24919995" w14:textId="77777777" w:rsidR="007F5B3F" w:rsidRDefault="00000000">
      <w:pP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Summary of Membership Contents of Websites</w:t>
      </w:r>
    </w:p>
    <w:p w14:paraId="00BDB676" w14:textId="77777777" w:rsidR="007F5B3F" w:rsidRDefault="007F5B3F">
      <w:pPr>
        <w:rPr>
          <w:rFonts w:ascii="Times New Roman" w:eastAsia="Times New Roman" w:hAnsi="Times New Roman" w:cs="Times New Roman"/>
          <w:sz w:val="24"/>
          <w:szCs w:val="24"/>
        </w:rPr>
      </w:pPr>
    </w:p>
    <w:tbl>
      <w:tblPr>
        <w:tblStyle w:val="a0"/>
        <w:tblW w:w="9350" w:type="dxa"/>
        <w:tblInd w:w="0" w:type="dxa"/>
        <w:tblBorders>
          <w:top w:val="single" w:sz="8" w:space="0" w:color="000000"/>
          <w:bottom w:val="single" w:sz="8" w:space="0" w:color="000000"/>
        </w:tblBorders>
        <w:tblLayout w:type="fixed"/>
        <w:tblLook w:val="0600" w:firstRow="0" w:lastRow="0" w:firstColumn="0" w:lastColumn="0" w:noHBand="1" w:noVBand="1"/>
      </w:tblPr>
      <w:tblGrid>
        <w:gridCol w:w="1635"/>
        <w:gridCol w:w="2085"/>
        <w:gridCol w:w="1860"/>
        <w:gridCol w:w="3770"/>
      </w:tblGrid>
      <w:tr w:rsidR="00297F23" w14:paraId="7E7884BD" w14:textId="77777777" w:rsidTr="00297F23">
        <w:tc>
          <w:tcPr>
            <w:tcW w:w="1635" w:type="dxa"/>
            <w:tcBorders>
              <w:top w:val="single" w:sz="8" w:space="0" w:color="000000"/>
              <w:bottom w:val="single" w:sz="4" w:space="0" w:color="auto"/>
            </w:tcBorders>
            <w:shd w:val="clear" w:color="auto" w:fill="auto"/>
            <w:tcMar>
              <w:top w:w="100" w:type="dxa"/>
              <w:left w:w="100" w:type="dxa"/>
              <w:bottom w:w="100" w:type="dxa"/>
              <w:right w:w="100" w:type="dxa"/>
            </w:tcMar>
          </w:tcPr>
          <w:p w14:paraId="090D6B5E"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Organization</w:t>
            </w:r>
          </w:p>
        </w:tc>
        <w:tc>
          <w:tcPr>
            <w:tcW w:w="2085" w:type="dxa"/>
            <w:tcBorders>
              <w:top w:val="single" w:sz="8" w:space="0" w:color="000000"/>
              <w:bottom w:val="single" w:sz="4" w:space="0" w:color="auto"/>
            </w:tcBorders>
            <w:shd w:val="clear" w:color="auto" w:fill="auto"/>
            <w:tcMar>
              <w:top w:w="100" w:type="dxa"/>
              <w:left w:w="100" w:type="dxa"/>
              <w:bottom w:w="100" w:type="dxa"/>
              <w:right w:w="100" w:type="dxa"/>
            </w:tcMar>
          </w:tcPr>
          <w:p w14:paraId="62DCA5DA"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Estimated Membership</w:t>
            </w:r>
          </w:p>
        </w:tc>
        <w:tc>
          <w:tcPr>
            <w:tcW w:w="1860" w:type="dxa"/>
            <w:tcBorders>
              <w:top w:val="single" w:sz="8" w:space="0" w:color="000000"/>
              <w:bottom w:val="single" w:sz="4" w:space="0" w:color="auto"/>
            </w:tcBorders>
            <w:shd w:val="clear" w:color="auto" w:fill="auto"/>
            <w:tcMar>
              <w:top w:w="100" w:type="dxa"/>
              <w:left w:w="100" w:type="dxa"/>
              <w:bottom w:w="100" w:type="dxa"/>
              <w:right w:w="100" w:type="dxa"/>
            </w:tcMar>
          </w:tcPr>
          <w:p w14:paraId="45D38415"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Locations with Membership</w:t>
            </w:r>
          </w:p>
        </w:tc>
        <w:tc>
          <w:tcPr>
            <w:tcW w:w="3770" w:type="dxa"/>
            <w:tcBorders>
              <w:top w:val="single" w:sz="8" w:space="0" w:color="000000"/>
              <w:bottom w:val="single" w:sz="4" w:space="0" w:color="auto"/>
            </w:tcBorders>
            <w:shd w:val="clear" w:color="auto" w:fill="auto"/>
            <w:tcMar>
              <w:top w:w="100" w:type="dxa"/>
              <w:left w:w="100" w:type="dxa"/>
              <w:bottom w:w="100" w:type="dxa"/>
              <w:right w:w="100" w:type="dxa"/>
            </w:tcMar>
          </w:tcPr>
          <w:p w14:paraId="5E7F00BB"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Age of Membership</w:t>
            </w:r>
          </w:p>
        </w:tc>
      </w:tr>
      <w:tr w:rsidR="00297F23" w14:paraId="082F2CAF" w14:textId="77777777" w:rsidTr="00297F23">
        <w:tc>
          <w:tcPr>
            <w:tcW w:w="1635" w:type="dxa"/>
            <w:tcBorders>
              <w:top w:val="single" w:sz="4" w:space="0" w:color="auto"/>
            </w:tcBorders>
            <w:shd w:val="clear" w:color="auto" w:fill="auto"/>
            <w:tcMar>
              <w:top w:w="100" w:type="dxa"/>
              <w:left w:w="100" w:type="dxa"/>
              <w:bottom w:w="100" w:type="dxa"/>
              <w:right w:w="100" w:type="dxa"/>
            </w:tcMar>
          </w:tcPr>
          <w:p w14:paraId="708930D5"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BPA</w:t>
            </w:r>
          </w:p>
        </w:tc>
        <w:tc>
          <w:tcPr>
            <w:tcW w:w="2085" w:type="dxa"/>
            <w:tcBorders>
              <w:top w:val="single" w:sz="4" w:space="0" w:color="auto"/>
            </w:tcBorders>
            <w:shd w:val="clear" w:color="auto" w:fill="auto"/>
            <w:tcMar>
              <w:top w:w="100" w:type="dxa"/>
              <w:left w:w="100" w:type="dxa"/>
              <w:bottom w:w="100" w:type="dxa"/>
              <w:right w:w="100" w:type="dxa"/>
            </w:tcMar>
          </w:tcPr>
          <w:p w14:paraId="5A23440D"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60,000 students</w:t>
            </w:r>
          </w:p>
        </w:tc>
        <w:tc>
          <w:tcPr>
            <w:tcW w:w="1860" w:type="dxa"/>
            <w:tcBorders>
              <w:top w:val="single" w:sz="4" w:space="0" w:color="auto"/>
            </w:tcBorders>
            <w:shd w:val="clear" w:color="auto" w:fill="auto"/>
            <w:tcMar>
              <w:top w:w="100" w:type="dxa"/>
              <w:left w:w="100" w:type="dxa"/>
              <w:bottom w:w="100" w:type="dxa"/>
              <w:right w:w="100" w:type="dxa"/>
            </w:tcMar>
          </w:tcPr>
          <w:p w14:paraId="15F69D7D"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 States, Puerto Rico, China, Haiti, Peru</w:t>
            </w:r>
          </w:p>
        </w:tc>
        <w:tc>
          <w:tcPr>
            <w:tcW w:w="3770" w:type="dxa"/>
            <w:tcBorders>
              <w:top w:val="single" w:sz="4" w:space="0" w:color="auto"/>
            </w:tcBorders>
            <w:shd w:val="clear" w:color="auto" w:fill="auto"/>
            <w:tcMar>
              <w:top w:w="100" w:type="dxa"/>
              <w:left w:w="100" w:type="dxa"/>
              <w:bottom w:w="100" w:type="dxa"/>
              <w:right w:w="100" w:type="dxa"/>
            </w:tcMar>
          </w:tcPr>
          <w:p w14:paraId="31047411"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Middle,</w:t>
            </w:r>
            <w:proofErr w:type="gramEnd"/>
            <w:r>
              <w:rPr>
                <w:rFonts w:ascii="Times New Roman" w:eastAsia="Times New Roman" w:hAnsi="Times New Roman" w:cs="Times New Roman"/>
                <w:sz w:val="24"/>
                <w:szCs w:val="24"/>
              </w:rPr>
              <w:t xml:space="preserve"> High School, Post-Secondary Students</w:t>
            </w:r>
          </w:p>
        </w:tc>
      </w:tr>
      <w:tr w:rsidR="00297F23" w14:paraId="59D234A1" w14:textId="77777777" w:rsidTr="00297F23">
        <w:tc>
          <w:tcPr>
            <w:tcW w:w="1635" w:type="dxa"/>
            <w:shd w:val="clear" w:color="auto" w:fill="auto"/>
            <w:tcMar>
              <w:top w:w="100" w:type="dxa"/>
              <w:left w:w="100" w:type="dxa"/>
              <w:bottom w:w="100" w:type="dxa"/>
              <w:right w:w="100" w:type="dxa"/>
            </w:tcMar>
          </w:tcPr>
          <w:p w14:paraId="14D1F0B2"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DECA</w:t>
            </w:r>
          </w:p>
        </w:tc>
        <w:tc>
          <w:tcPr>
            <w:tcW w:w="2085" w:type="dxa"/>
            <w:shd w:val="clear" w:color="auto" w:fill="auto"/>
            <w:tcMar>
              <w:top w:w="100" w:type="dxa"/>
              <w:left w:w="100" w:type="dxa"/>
              <w:bottom w:w="100" w:type="dxa"/>
              <w:right w:w="100" w:type="dxa"/>
            </w:tcMar>
          </w:tcPr>
          <w:p w14:paraId="550B9C34"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309,067 high school students</w:t>
            </w:r>
          </w:p>
          <w:p w14:paraId="397451EE"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3,193 college students</w:t>
            </w:r>
          </w:p>
        </w:tc>
        <w:tc>
          <w:tcPr>
            <w:tcW w:w="1860" w:type="dxa"/>
            <w:shd w:val="clear" w:color="auto" w:fill="auto"/>
            <w:tcMar>
              <w:top w:w="100" w:type="dxa"/>
              <w:left w:w="100" w:type="dxa"/>
              <w:bottom w:w="100" w:type="dxa"/>
              <w:right w:w="100" w:type="dxa"/>
            </w:tcMar>
          </w:tcPr>
          <w:p w14:paraId="3E77E589"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Open Internationally</w:t>
            </w:r>
          </w:p>
        </w:tc>
        <w:tc>
          <w:tcPr>
            <w:tcW w:w="3770" w:type="dxa"/>
            <w:shd w:val="clear" w:color="auto" w:fill="auto"/>
            <w:tcMar>
              <w:top w:w="100" w:type="dxa"/>
              <w:left w:w="100" w:type="dxa"/>
              <w:bottom w:w="100" w:type="dxa"/>
              <w:right w:w="100" w:type="dxa"/>
            </w:tcMar>
          </w:tcPr>
          <w:p w14:paraId="18AD9CF4" w14:textId="3CB6247D"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High School and Post-Secondary Students</w:t>
            </w:r>
          </w:p>
        </w:tc>
      </w:tr>
      <w:tr w:rsidR="00297F23" w14:paraId="0A650E38" w14:textId="77777777" w:rsidTr="00297F23">
        <w:tc>
          <w:tcPr>
            <w:tcW w:w="1635" w:type="dxa"/>
            <w:shd w:val="clear" w:color="auto" w:fill="auto"/>
            <w:tcMar>
              <w:top w:w="100" w:type="dxa"/>
              <w:left w:w="100" w:type="dxa"/>
              <w:bottom w:w="100" w:type="dxa"/>
              <w:right w:w="100" w:type="dxa"/>
            </w:tcMar>
          </w:tcPr>
          <w:p w14:paraId="7039DCFA"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FBLA</w:t>
            </w:r>
          </w:p>
        </w:tc>
        <w:tc>
          <w:tcPr>
            <w:tcW w:w="2085" w:type="dxa"/>
            <w:shd w:val="clear" w:color="auto" w:fill="auto"/>
            <w:tcMar>
              <w:top w:w="100" w:type="dxa"/>
              <w:left w:w="100" w:type="dxa"/>
              <w:bottom w:w="100" w:type="dxa"/>
              <w:right w:w="100" w:type="dxa"/>
            </w:tcMar>
          </w:tcPr>
          <w:p w14:paraId="76DF5083"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200,000 members</w:t>
            </w:r>
          </w:p>
        </w:tc>
        <w:tc>
          <w:tcPr>
            <w:tcW w:w="1860" w:type="dxa"/>
            <w:shd w:val="clear" w:color="auto" w:fill="auto"/>
            <w:tcMar>
              <w:top w:w="100" w:type="dxa"/>
              <w:left w:w="100" w:type="dxa"/>
              <w:bottom w:w="100" w:type="dxa"/>
              <w:right w:w="100" w:type="dxa"/>
            </w:tcMar>
          </w:tcPr>
          <w:p w14:paraId="7020AECB"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National</w:t>
            </w:r>
          </w:p>
        </w:tc>
        <w:tc>
          <w:tcPr>
            <w:tcW w:w="3770" w:type="dxa"/>
            <w:shd w:val="clear" w:color="auto" w:fill="auto"/>
            <w:tcMar>
              <w:top w:w="100" w:type="dxa"/>
              <w:left w:w="100" w:type="dxa"/>
              <w:bottom w:w="100" w:type="dxa"/>
              <w:right w:w="100" w:type="dxa"/>
            </w:tcMar>
          </w:tcPr>
          <w:p w14:paraId="30DE8FAB"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Middle, High School, Post-secondary Students</w:t>
            </w:r>
          </w:p>
        </w:tc>
      </w:tr>
      <w:tr w:rsidR="00297F23" w14:paraId="4FB34C80" w14:textId="77777777" w:rsidTr="00297F23">
        <w:tc>
          <w:tcPr>
            <w:tcW w:w="1635" w:type="dxa"/>
            <w:shd w:val="clear" w:color="auto" w:fill="auto"/>
            <w:tcMar>
              <w:top w:w="100" w:type="dxa"/>
              <w:left w:w="100" w:type="dxa"/>
              <w:bottom w:w="100" w:type="dxa"/>
              <w:right w:w="100" w:type="dxa"/>
            </w:tcMar>
          </w:tcPr>
          <w:p w14:paraId="61DF35C3"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FCCLA</w:t>
            </w:r>
          </w:p>
        </w:tc>
        <w:tc>
          <w:tcPr>
            <w:tcW w:w="2085" w:type="dxa"/>
            <w:shd w:val="clear" w:color="auto" w:fill="auto"/>
            <w:tcMar>
              <w:top w:w="100" w:type="dxa"/>
              <w:left w:w="100" w:type="dxa"/>
              <w:bottom w:w="100" w:type="dxa"/>
              <w:right w:w="100" w:type="dxa"/>
            </w:tcMar>
          </w:tcPr>
          <w:p w14:paraId="4B1E5541"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250,000+ members</w:t>
            </w:r>
          </w:p>
        </w:tc>
        <w:tc>
          <w:tcPr>
            <w:tcW w:w="1860" w:type="dxa"/>
            <w:shd w:val="clear" w:color="auto" w:fill="auto"/>
            <w:tcMar>
              <w:top w:w="100" w:type="dxa"/>
              <w:left w:w="100" w:type="dxa"/>
              <w:bottom w:w="100" w:type="dxa"/>
              <w:right w:w="100" w:type="dxa"/>
            </w:tcMar>
          </w:tcPr>
          <w:p w14:paraId="65B9692A"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National</w:t>
            </w:r>
          </w:p>
        </w:tc>
        <w:tc>
          <w:tcPr>
            <w:tcW w:w="3770" w:type="dxa"/>
            <w:shd w:val="clear" w:color="auto" w:fill="auto"/>
            <w:tcMar>
              <w:top w:w="100" w:type="dxa"/>
              <w:left w:w="100" w:type="dxa"/>
              <w:bottom w:w="100" w:type="dxa"/>
              <w:right w:w="100" w:type="dxa"/>
            </w:tcMar>
          </w:tcPr>
          <w:p w14:paraId="15046633"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Middle,</w:t>
            </w:r>
            <w:proofErr w:type="gramEnd"/>
            <w:r>
              <w:rPr>
                <w:rFonts w:ascii="Times New Roman" w:eastAsia="Times New Roman" w:hAnsi="Times New Roman" w:cs="Times New Roman"/>
                <w:sz w:val="24"/>
                <w:szCs w:val="24"/>
              </w:rPr>
              <w:t xml:space="preserve"> High School Students</w:t>
            </w:r>
          </w:p>
        </w:tc>
      </w:tr>
      <w:tr w:rsidR="00297F23" w14:paraId="3E081468" w14:textId="77777777" w:rsidTr="00297F23">
        <w:tc>
          <w:tcPr>
            <w:tcW w:w="1635" w:type="dxa"/>
            <w:shd w:val="clear" w:color="auto" w:fill="auto"/>
            <w:tcMar>
              <w:top w:w="100" w:type="dxa"/>
              <w:left w:w="100" w:type="dxa"/>
              <w:bottom w:w="100" w:type="dxa"/>
              <w:right w:w="100" w:type="dxa"/>
            </w:tcMar>
          </w:tcPr>
          <w:p w14:paraId="2C8AB221"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FFA</w:t>
            </w:r>
          </w:p>
        </w:tc>
        <w:tc>
          <w:tcPr>
            <w:tcW w:w="2085" w:type="dxa"/>
            <w:shd w:val="clear" w:color="auto" w:fill="auto"/>
            <w:tcMar>
              <w:top w:w="100" w:type="dxa"/>
              <w:left w:w="100" w:type="dxa"/>
              <w:bottom w:w="100" w:type="dxa"/>
              <w:right w:w="100" w:type="dxa"/>
            </w:tcMar>
          </w:tcPr>
          <w:p w14:paraId="5FE0577B"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1,042, 245 members</w:t>
            </w:r>
          </w:p>
        </w:tc>
        <w:tc>
          <w:tcPr>
            <w:tcW w:w="1860" w:type="dxa"/>
            <w:shd w:val="clear" w:color="auto" w:fill="auto"/>
            <w:tcMar>
              <w:top w:w="100" w:type="dxa"/>
              <w:left w:w="100" w:type="dxa"/>
              <w:bottom w:w="100" w:type="dxa"/>
              <w:right w:w="100" w:type="dxa"/>
            </w:tcMar>
          </w:tcPr>
          <w:p w14:paraId="3C88EC11"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National, Puerto Rico, Japan</w:t>
            </w:r>
          </w:p>
        </w:tc>
        <w:tc>
          <w:tcPr>
            <w:tcW w:w="3770" w:type="dxa"/>
            <w:shd w:val="clear" w:color="auto" w:fill="auto"/>
            <w:tcMar>
              <w:top w:w="100" w:type="dxa"/>
              <w:left w:w="100" w:type="dxa"/>
              <w:bottom w:w="100" w:type="dxa"/>
              <w:right w:w="100" w:type="dxa"/>
            </w:tcMar>
          </w:tcPr>
          <w:p w14:paraId="6BD50E9B"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Middle,</w:t>
            </w:r>
            <w:proofErr w:type="gramEnd"/>
            <w:r>
              <w:rPr>
                <w:rFonts w:ascii="Times New Roman" w:eastAsia="Times New Roman" w:hAnsi="Times New Roman" w:cs="Times New Roman"/>
                <w:sz w:val="24"/>
                <w:szCs w:val="24"/>
              </w:rPr>
              <w:t xml:space="preserve"> High School Students</w:t>
            </w:r>
          </w:p>
        </w:tc>
      </w:tr>
      <w:tr w:rsidR="00297F23" w14:paraId="3844CB75" w14:textId="77777777" w:rsidTr="00297F23">
        <w:tc>
          <w:tcPr>
            <w:tcW w:w="1635" w:type="dxa"/>
            <w:shd w:val="clear" w:color="auto" w:fill="auto"/>
            <w:tcMar>
              <w:top w:w="100" w:type="dxa"/>
              <w:left w:w="100" w:type="dxa"/>
              <w:bottom w:w="100" w:type="dxa"/>
              <w:right w:w="100" w:type="dxa"/>
            </w:tcMar>
          </w:tcPr>
          <w:p w14:paraId="5703C108"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HOSA</w:t>
            </w:r>
          </w:p>
        </w:tc>
        <w:tc>
          <w:tcPr>
            <w:tcW w:w="2085" w:type="dxa"/>
            <w:shd w:val="clear" w:color="auto" w:fill="auto"/>
            <w:tcMar>
              <w:top w:w="100" w:type="dxa"/>
              <w:left w:w="100" w:type="dxa"/>
              <w:bottom w:w="100" w:type="dxa"/>
              <w:right w:w="100" w:type="dxa"/>
            </w:tcMar>
          </w:tcPr>
          <w:p w14:paraId="46113549"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350,000 members</w:t>
            </w:r>
          </w:p>
        </w:tc>
        <w:tc>
          <w:tcPr>
            <w:tcW w:w="1860" w:type="dxa"/>
            <w:shd w:val="clear" w:color="auto" w:fill="auto"/>
            <w:tcMar>
              <w:top w:w="100" w:type="dxa"/>
              <w:left w:w="100" w:type="dxa"/>
              <w:bottom w:w="100" w:type="dxa"/>
              <w:right w:w="100" w:type="dxa"/>
            </w:tcMar>
          </w:tcPr>
          <w:p w14:paraId="1D360225" w14:textId="011379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National, American Samoa, Canada, China, Puerto Rico, Vietnam</w:t>
            </w:r>
          </w:p>
        </w:tc>
        <w:tc>
          <w:tcPr>
            <w:tcW w:w="3770" w:type="dxa"/>
            <w:shd w:val="clear" w:color="auto" w:fill="auto"/>
            <w:tcMar>
              <w:top w:w="100" w:type="dxa"/>
              <w:left w:w="100" w:type="dxa"/>
              <w:bottom w:w="100" w:type="dxa"/>
              <w:right w:w="100" w:type="dxa"/>
            </w:tcMar>
          </w:tcPr>
          <w:p w14:paraId="3BFD0A00"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Middle,</w:t>
            </w:r>
            <w:proofErr w:type="gramEnd"/>
            <w:r>
              <w:rPr>
                <w:rFonts w:ascii="Times New Roman" w:eastAsia="Times New Roman" w:hAnsi="Times New Roman" w:cs="Times New Roman"/>
                <w:sz w:val="24"/>
                <w:szCs w:val="24"/>
              </w:rPr>
              <w:t xml:space="preserve"> High School Students</w:t>
            </w:r>
          </w:p>
        </w:tc>
      </w:tr>
      <w:tr w:rsidR="00297F23" w14:paraId="140544C6" w14:textId="77777777" w:rsidTr="00297F23">
        <w:tc>
          <w:tcPr>
            <w:tcW w:w="1635" w:type="dxa"/>
            <w:shd w:val="clear" w:color="auto" w:fill="auto"/>
            <w:tcMar>
              <w:top w:w="100" w:type="dxa"/>
              <w:left w:w="100" w:type="dxa"/>
              <w:bottom w:w="100" w:type="dxa"/>
              <w:right w:w="100" w:type="dxa"/>
            </w:tcMar>
          </w:tcPr>
          <w:p w14:paraId="423E1E7F"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PAS</w:t>
            </w:r>
          </w:p>
        </w:tc>
        <w:tc>
          <w:tcPr>
            <w:tcW w:w="2085" w:type="dxa"/>
            <w:shd w:val="clear" w:color="auto" w:fill="auto"/>
            <w:tcMar>
              <w:top w:w="100" w:type="dxa"/>
              <w:left w:w="100" w:type="dxa"/>
              <w:bottom w:w="100" w:type="dxa"/>
              <w:right w:w="100" w:type="dxa"/>
            </w:tcMar>
          </w:tcPr>
          <w:p w14:paraId="6424C38E"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860" w:type="dxa"/>
            <w:shd w:val="clear" w:color="auto" w:fill="auto"/>
            <w:tcMar>
              <w:top w:w="100" w:type="dxa"/>
              <w:left w:w="100" w:type="dxa"/>
              <w:bottom w:w="100" w:type="dxa"/>
              <w:right w:w="100" w:type="dxa"/>
            </w:tcMar>
          </w:tcPr>
          <w:p w14:paraId="716EFB1F"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National</w:t>
            </w:r>
          </w:p>
        </w:tc>
        <w:tc>
          <w:tcPr>
            <w:tcW w:w="3770" w:type="dxa"/>
            <w:shd w:val="clear" w:color="auto" w:fill="auto"/>
            <w:tcMar>
              <w:top w:w="100" w:type="dxa"/>
              <w:left w:w="100" w:type="dxa"/>
              <w:bottom w:w="100" w:type="dxa"/>
              <w:right w:w="100" w:type="dxa"/>
            </w:tcMar>
          </w:tcPr>
          <w:p w14:paraId="49A4BA9D"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Post-Secondary Students</w:t>
            </w:r>
          </w:p>
        </w:tc>
      </w:tr>
      <w:tr w:rsidR="00297F23" w14:paraId="594574DC" w14:textId="77777777" w:rsidTr="00297F23">
        <w:tc>
          <w:tcPr>
            <w:tcW w:w="1635" w:type="dxa"/>
            <w:shd w:val="clear" w:color="auto" w:fill="auto"/>
            <w:tcMar>
              <w:top w:w="100" w:type="dxa"/>
              <w:left w:w="100" w:type="dxa"/>
              <w:bottom w:w="100" w:type="dxa"/>
              <w:right w:w="100" w:type="dxa"/>
            </w:tcMar>
          </w:tcPr>
          <w:p w14:paraId="292C17C1"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SkillsUSA</w:t>
            </w:r>
          </w:p>
        </w:tc>
        <w:tc>
          <w:tcPr>
            <w:tcW w:w="2085" w:type="dxa"/>
            <w:shd w:val="clear" w:color="auto" w:fill="auto"/>
            <w:tcMar>
              <w:top w:w="100" w:type="dxa"/>
              <w:left w:w="100" w:type="dxa"/>
              <w:bottom w:w="100" w:type="dxa"/>
              <w:right w:w="100" w:type="dxa"/>
            </w:tcMar>
          </w:tcPr>
          <w:p w14:paraId="1B9806F4"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444,000 students and teachers</w:t>
            </w:r>
          </w:p>
        </w:tc>
        <w:tc>
          <w:tcPr>
            <w:tcW w:w="1860" w:type="dxa"/>
            <w:shd w:val="clear" w:color="auto" w:fill="auto"/>
            <w:tcMar>
              <w:top w:w="100" w:type="dxa"/>
              <w:left w:w="100" w:type="dxa"/>
              <w:bottom w:w="100" w:type="dxa"/>
              <w:right w:w="100" w:type="dxa"/>
            </w:tcMar>
          </w:tcPr>
          <w:p w14:paraId="324F8F31"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National</w:t>
            </w:r>
          </w:p>
        </w:tc>
        <w:tc>
          <w:tcPr>
            <w:tcW w:w="3770" w:type="dxa"/>
            <w:shd w:val="clear" w:color="auto" w:fill="auto"/>
            <w:tcMar>
              <w:top w:w="100" w:type="dxa"/>
              <w:left w:w="100" w:type="dxa"/>
              <w:bottom w:w="100" w:type="dxa"/>
              <w:right w:w="100" w:type="dxa"/>
            </w:tcMar>
          </w:tcPr>
          <w:p w14:paraId="31350865"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Middle,</w:t>
            </w:r>
            <w:proofErr w:type="gramEnd"/>
            <w:r>
              <w:rPr>
                <w:rFonts w:ascii="Times New Roman" w:eastAsia="Times New Roman" w:hAnsi="Times New Roman" w:cs="Times New Roman"/>
                <w:sz w:val="24"/>
                <w:szCs w:val="24"/>
              </w:rPr>
              <w:t xml:space="preserve"> High School students</w:t>
            </w:r>
          </w:p>
        </w:tc>
      </w:tr>
      <w:tr w:rsidR="00297F23" w14:paraId="6F96C5C8" w14:textId="77777777" w:rsidTr="00297F23">
        <w:tc>
          <w:tcPr>
            <w:tcW w:w="1635" w:type="dxa"/>
            <w:shd w:val="clear" w:color="auto" w:fill="auto"/>
            <w:tcMar>
              <w:top w:w="100" w:type="dxa"/>
              <w:left w:w="100" w:type="dxa"/>
              <w:bottom w:w="100" w:type="dxa"/>
              <w:right w:w="100" w:type="dxa"/>
            </w:tcMar>
          </w:tcPr>
          <w:p w14:paraId="58A0F65C"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TSA</w:t>
            </w:r>
          </w:p>
        </w:tc>
        <w:tc>
          <w:tcPr>
            <w:tcW w:w="2085" w:type="dxa"/>
            <w:shd w:val="clear" w:color="auto" w:fill="auto"/>
            <w:tcMar>
              <w:top w:w="100" w:type="dxa"/>
              <w:left w:w="100" w:type="dxa"/>
              <w:bottom w:w="100" w:type="dxa"/>
              <w:right w:w="100" w:type="dxa"/>
            </w:tcMar>
          </w:tcPr>
          <w:p w14:paraId="32180A7A"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300,000 members</w:t>
            </w:r>
          </w:p>
        </w:tc>
        <w:tc>
          <w:tcPr>
            <w:tcW w:w="1860" w:type="dxa"/>
            <w:shd w:val="clear" w:color="auto" w:fill="auto"/>
            <w:tcMar>
              <w:top w:w="100" w:type="dxa"/>
              <w:left w:w="100" w:type="dxa"/>
              <w:bottom w:w="100" w:type="dxa"/>
              <w:right w:w="100" w:type="dxa"/>
            </w:tcMar>
          </w:tcPr>
          <w:p w14:paraId="5F56C91A"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National</w:t>
            </w:r>
          </w:p>
        </w:tc>
        <w:tc>
          <w:tcPr>
            <w:tcW w:w="3770" w:type="dxa"/>
            <w:shd w:val="clear" w:color="auto" w:fill="auto"/>
            <w:tcMar>
              <w:top w:w="100" w:type="dxa"/>
              <w:left w:w="100" w:type="dxa"/>
              <w:bottom w:w="100" w:type="dxa"/>
              <w:right w:w="100" w:type="dxa"/>
            </w:tcMar>
          </w:tcPr>
          <w:p w14:paraId="1F6DE208" w14:textId="77777777" w:rsidR="00297F23" w:rsidRDefault="00297F23"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Middle,</w:t>
            </w:r>
            <w:proofErr w:type="gramEnd"/>
            <w:r>
              <w:rPr>
                <w:rFonts w:ascii="Times New Roman" w:eastAsia="Times New Roman" w:hAnsi="Times New Roman" w:cs="Times New Roman"/>
                <w:sz w:val="24"/>
                <w:szCs w:val="24"/>
              </w:rPr>
              <w:t xml:space="preserve"> High School students</w:t>
            </w:r>
          </w:p>
        </w:tc>
      </w:tr>
    </w:tbl>
    <w:p w14:paraId="062E7987" w14:textId="77777777" w:rsidR="007F5B3F" w:rsidRDefault="007F5B3F">
      <w:pPr>
        <w:rPr>
          <w:rFonts w:ascii="Times New Roman" w:eastAsia="Times New Roman" w:hAnsi="Times New Roman" w:cs="Times New Roman"/>
          <w:sz w:val="24"/>
          <w:szCs w:val="24"/>
        </w:rPr>
      </w:pPr>
    </w:p>
    <w:p w14:paraId="4B56EA50" w14:textId="78CC3A14" w:rsidR="007F5B3F"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Influence</w:t>
      </w:r>
    </w:p>
    <w:p w14:paraId="6067EA95" w14:textId="28C6EA99" w:rsidR="007F5B3F" w:rsidRDefault="00000000">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reviewing the websites of each organization, opportunities for leadership development and sharing stories about members </w:t>
      </w:r>
      <w:r w:rsidR="00572877">
        <w:rPr>
          <w:rFonts w:ascii="Times New Roman" w:eastAsia="Times New Roman" w:hAnsi="Times New Roman" w:cs="Times New Roman"/>
          <w:sz w:val="24"/>
          <w:szCs w:val="24"/>
        </w:rPr>
        <w:t>were</w:t>
      </w:r>
      <w:r>
        <w:rPr>
          <w:rFonts w:ascii="Times New Roman" w:eastAsia="Times New Roman" w:hAnsi="Times New Roman" w:cs="Times New Roman"/>
          <w:sz w:val="24"/>
          <w:szCs w:val="24"/>
        </w:rPr>
        <w:t xml:space="preserve"> an important part of </w:t>
      </w:r>
      <w:proofErr w:type="gramStart"/>
      <w:r>
        <w:rPr>
          <w:rFonts w:ascii="Times New Roman" w:eastAsia="Times New Roman" w:hAnsi="Times New Roman" w:cs="Times New Roman"/>
          <w:sz w:val="24"/>
          <w:szCs w:val="24"/>
        </w:rPr>
        <w:t>most of</w:t>
      </w:r>
      <w:proofErr w:type="gramEnd"/>
      <w:r>
        <w:rPr>
          <w:rFonts w:ascii="Times New Roman" w:eastAsia="Times New Roman" w:hAnsi="Times New Roman" w:cs="Times New Roman"/>
          <w:sz w:val="24"/>
          <w:szCs w:val="24"/>
        </w:rPr>
        <w:t xml:space="preserve"> the </w:t>
      </w:r>
      <w:r w:rsidR="006A102E">
        <w:rPr>
          <w:rFonts w:ascii="Times New Roman" w:eastAsia="Times New Roman" w:hAnsi="Times New Roman" w:cs="Times New Roman"/>
          <w:sz w:val="24"/>
          <w:szCs w:val="24"/>
        </w:rPr>
        <w:t>websites.</w:t>
      </w:r>
      <w:r>
        <w:rPr>
          <w:rFonts w:ascii="Times New Roman" w:eastAsia="Times New Roman" w:hAnsi="Times New Roman" w:cs="Times New Roman"/>
          <w:sz w:val="24"/>
          <w:szCs w:val="24"/>
        </w:rPr>
        <w:t xml:space="preserve"> Each organization provided information on the various leadership development opportunities, which included national leadership roles, community service, and stories from individual students and chapters about their engagement that is influential in their area. </w:t>
      </w:r>
      <w:r w:rsidR="00572877">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the organizations mentioned annual national or international opportunities for members to gather and conduct business for membership voices to be heard. While varying levels of information about this </w:t>
      </w:r>
      <w:r w:rsidR="00572877">
        <w:rPr>
          <w:rFonts w:ascii="Times New Roman" w:eastAsia="Times New Roman" w:hAnsi="Times New Roman" w:cs="Times New Roman"/>
          <w:sz w:val="24"/>
          <w:szCs w:val="24"/>
        </w:rPr>
        <w:t>were</w:t>
      </w:r>
      <w:r>
        <w:rPr>
          <w:rFonts w:ascii="Times New Roman" w:eastAsia="Times New Roman" w:hAnsi="Times New Roman" w:cs="Times New Roman"/>
          <w:sz w:val="24"/>
          <w:szCs w:val="24"/>
        </w:rPr>
        <w:t xml:space="preserve"> available on the national organization websites, FFA did </w:t>
      </w:r>
      <w:r w:rsidR="00500239">
        <w:rPr>
          <w:rFonts w:ascii="Times New Roman" w:eastAsia="Times New Roman" w:hAnsi="Times New Roman" w:cs="Times New Roman"/>
          <w:sz w:val="24"/>
          <w:szCs w:val="24"/>
        </w:rPr>
        <w:t>a clear</w:t>
      </w:r>
      <w:r>
        <w:rPr>
          <w:rFonts w:ascii="Times New Roman" w:eastAsia="Times New Roman" w:hAnsi="Times New Roman" w:cs="Times New Roman"/>
          <w:sz w:val="24"/>
          <w:szCs w:val="24"/>
        </w:rPr>
        <w:t xml:space="preserve"> job of sharing these aspects of involvement in their organization. At the other end of the spectrum, PAS did not share very many details about this aspect of engagement publicly on the </w:t>
      </w:r>
      <w:r w:rsidR="006A102E">
        <w:rPr>
          <w:rFonts w:ascii="Times New Roman" w:eastAsia="Times New Roman" w:hAnsi="Times New Roman" w:cs="Times New Roman"/>
          <w:sz w:val="24"/>
          <w:szCs w:val="24"/>
        </w:rPr>
        <w:t>website.</w:t>
      </w:r>
      <w:r>
        <w:rPr>
          <w:rFonts w:ascii="Times New Roman" w:eastAsia="Times New Roman" w:hAnsi="Times New Roman" w:cs="Times New Roman"/>
          <w:sz w:val="24"/>
          <w:szCs w:val="24"/>
        </w:rPr>
        <w:t xml:space="preserve"> Many of the organizations shared mission, vision, and value statements that highlighted their interest in actively engaging members to have influence in their community and within the organization. </w:t>
      </w:r>
      <w:r w:rsidR="00500239">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the organizations addressed ways to get involved by starting a chapter or joining a chapter of their group. The table below summarizes the findings for this aspect of the study.</w:t>
      </w:r>
    </w:p>
    <w:p w14:paraId="0D9F4913" w14:textId="77777777" w:rsidR="007F5B3F" w:rsidRDefault="007F5B3F">
      <w:pPr>
        <w:rPr>
          <w:rFonts w:ascii="Times New Roman" w:eastAsia="Times New Roman" w:hAnsi="Times New Roman" w:cs="Times New Roman"/>
          <w:b/>
          <w:bCs/>
          <w:sz w:val="24"/>
          <w:szCs w:val="24"/>
        </w:rPr>
      </w:pPr>
    </w:p>
    <w:p w14:paraId="32C30371" w14:textId="77777777" w:rsidR="007F5B3F"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3</w:t>
      </w:r>
    </w:p>
    <w:p w14:paraId="7E67DFF6" w14:textId="53015C4E" w:rsidR="007F5B3F" w:rsidRDefault="00000000">
      <w:pPr>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 xml:space="preserve">Summary of </w:t>
      </w:r>
      <w:r w:rsidR="00500239">
        <w:rPr>
          <w:rFonts w:ascii="Times New Roman" w:eastAsia="Times New Roman" w:hAnsi="Times New Roman" w:cs="Times New Roman"/>
          <w:b/>
          <w:bCs/>
          <w:i/>
          <w:iCs/>
          <w:sz w:val="24"/>
          <w:szCs w:val="24"/>
        </w:rPr>
        <w:t>Influence on</w:t>
      </w:r>
      <w:r>
        <w:rPr>
          <w:rFonts w:ascii="Times New Roman" w:eastAsia="Times New Roman" w:hAnsi="Times New Roman" w:cs="Times New Roman"/>
          <w:b/>
          <w:bCs/>
          <w:i/>
          <w:iCs/>
          <w:sz w:val="24"/>
          <w:szCs w:val="24"/>
        </w:rPr>
        <w:t xml:space="preserve"> Contents of Websites</w:t>
      </w:r>
    </w:p>
    <w:p w14:paraId="7207DF5E" w14:textId="77777777" w:rsidR="007F5B3F" w:rsidRDefault="007F5B3F">
      <w:pPr>
        <w:rPr>
          <w:rFonts w:ascii="Times New Roman" w:eastAsia="Times New Roman" w:hAnsi="Times New Roman" w:cs="Times New Roman"/>
          <w:sz w:val="24"/>
          <w:szCs w:val="24"/>
        </w:rPr>
      </w:pPr>
    </w:p>
    <w:tbl>
      <w:tblPr>
        <w:tblStyle w:val="a1"/>
        <w:tblW w:w="9360" w:type="dxa"/>
        <w:tblInd w:w="0" w:type="dxa"/>
        <w:tblBorders>
          <w:top w:val="single" w:sz="8" w:space="0" w:color="000000"/>
          <w:bottom w:val="single" w:sz="8" w:space="0" w:color="000000"/>
        </w:tblBorders>
        <w:tblLayout w:type="fixed"/>
        <w:tblLook w:val="0600" w:firstRow="0" w:lastRow="0" w:firstColumn="0" w:lastColumn="0" w:noHBand="1" w:noVBand="1"/>
      </w:tblPr>
      <w:tblGrid>
        <w:gridCol w:w="2340"/>
        <w:gridCol w:w="2340"/>
        <w:gridCol w:w="2340"/>
        <w:gridCol w:w="2340"/>
      </w:tblGrid>
      <w:tr w:rsidR="007F5B3F" w14:paraId="70570D3C" w14:textId="77777777" w:rsidTr="007F08C3">
        <w:tc>
          <w:tcPr>
            <w:tcW w:w="2340" w:type="dxa"/>
            <w:tcBorders>
              <w:top w:val="single" w:sz="8" w:space="0" w:color="000000"/>
              <w:bottom w:val="single" w:sz="4" w:space="0" w:color="auto"/>
            </w:tcBorders>
            <w:shd w:val="clear" w:color="auto" w:fill="auto"/>
            <w:tcMar>
              <w:top w:w="100" w:type="dxa"/>
              <w:left w:w="100" w:type="dxa"/>
              <w:bottom w:w="100" w:type="dxa"/>
              <w:right w:w="100" w:type="dxa"/>
            </w:tcMar>
          </w:tcPr>
          <w:p w14:paraId="331114DB"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Organization</w:t>
            </w:r>
          </w:p>
        </w:tc>
        <w:tc>
          <w:tcPr>
            <w:tcW w:w="2340" w:type="dxa"/>
            <w:tcBorders>
              <w:top w:val="single" w:sz="8" w:space="0" w:color="000000"/>
              <w:bottom w:val="single" w:sz="4" w:space="0" w:color="auto"/>
            </w:tcBorders>
            <w:shd w:val="clear" w:color="auto" w:fill="auto"/>
            <w:tcMar>
              <w:top w:w="100" w:type="dxa"/>
              <w:left w:w="100" w:type="dxa"/>
              <w:bottom w:w="100" w:type="dxa"/>
              <w:right w:w="100" w:type="dxa"/>
            </w:tcMar>
          </w:tcPr>
          <w:p w14:paraId="3159EB34" w14:textId="1B6C86AD"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Information about leadership</w:t>
            </w:r>
          </w:p>
        </w:tc>
        <w:tc>
          <w:tcPr>
            <w:tcW w:w="2340" w:type="dxa"/>
            <w:tcBorders>
              <w:top w:val="single" w:sz="8" w:space="0" w:color="000000"/>
              <w:bottom w:val="single" w:sz="4" w:space="0" w:color="auto"/>
            </w:tcBorders>
            <w:shd w:val="clear" w:color="auto" w:fill="auto"/>
            <w:tcMar>
              <w:top w:w="100" w:type="dxa"/>
              <w:left w:w="100" w:type="dxa"/>
              <w:bottom w:w="100" w:type="dxa"/>
              <w:right w:w="100" w:type="dxa"/>
            </w:tcMar>
          </w:tcPr>
          <w:p w14:paraId="61A0F4F8"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Member voices are heard</w:t>
            </w:r>
          </w:p>
        </w:tc>
        <w:tc>
          <w:tcPr>
            <w:tcW w:w="2340" w:type="dxa"/>
            <w:tcBorders>
              <w:top w:val="single" w:sz="8" w:space="0" w:color="000000"/>
              <w:bottom w:val="single" w:sz="4" w:space="0" w:color="auto"/>
            </w:tcBorders>
            <w:shd w:val="clear" w:color="auto" w:fill="auto"/>
            <w:tcMar>
              <w:top w:w="100" w:type="dxa"/>
              <w:left w:w="100" w:type="dxa"/>
              <w:bottom w:w="100" w:type="dxa"/>
              <w:right w:w="100" w:type="dxa"/>
            </w:tcMar>
          </w:tcPr>
          <w:p w14:paraId="76E2A814" w14:textId="2D77488E"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Positive stories about chapters or member activities</w:t>
            </w:r>
          </w:p>
        </w:tc>
      </w:tr>
      <w:tr w:rsidR="007F5B3F" w14:paraId="1D086F19" w14:textId="77777777" w:rsidTr="007F08C3">
        <w:tc>
          <w:tcPr>
            <w:tcW w:w="2340" w:type="dxa"/>
            <w:tcBorders>
              <w:top w:val="single" w:sz="4" w:space="0" w:color="auto"/>
            </w:tcBorders>
            <w:shd w:val="clear" w:color="auto" w:fill="auto"/>
            <w:tcMar>
              <w:top w:w="100" w:type="dxa"/>
              <w:left w:w="100" w:type="dxa"/>
              <w:bottom w:w="100" w:type="dxa"/>
              <w:right w:w="100" w:type="dxa"/>
            </w:tcMar>
          </w:tcPr>
          <w:p w14:paraId="56A3AE4E"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BPA</w:t>
            </w:r>
          </w:p>
        </w:tc>
        <w:tc>
          <w:tcPr>
            <w:tcW w:w="2340" w:type="dxa"/>
            <w:tcBorders>
              <w:top w:val="single" w:sz="4" w:space="0" w:color="auto"/>
            </w:tcBorders>
            <w:shd w:val="clear" w:color="auto" w:fill="auto"/>
            <w:tcMar>
              <w:top w:w="100" w:type="dxa"/>
              <w:left w:w="100" w:type="dxa"/>
              <w:bottom w:w="100" w:type="dxa"/>
              <w:right w:w="100" w:type="dxa"/>
            </w:tcMar>
          </w:tcPr>
          <w:p w14:paraId="6062DBBF"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340" w:type="dxa"/>
            <w:tcBorders>
              <w:top w:val="single" w:sz="4" w:space="0" w:color="auto"/>
            </w:tcBorders>
            <w:shd w:val="clear" w:color="auto" w:fill="auto"/>
            <w:tcMar>
              <w:top w:w="100" w:type="dxa"/>
              <w:left w:w="100" w:type="dxa"/>
              <w:bottom w:w="100" w:type="dxa"/>
              <w:right w:w="100" w:type="dxa"/>
            </w:tcMar>
          </w:tcPr>
          <w:p w14:paraId="4B95206D"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340" w:type="dxa"/>
            <w:tcBorders>
              <w:top w:val="single" w:sz="4" w:space="0" w:color="auto"/>
            </w:tcBorders>
            <w:shd w:val="clear" w:color="auto" w:fill="auto"/>
            <w:tcMar>
              <w:top w:w="100" w:type="dxa"/>
              <w:left w:w="100" w:type="dxa"/>
              <w:bottom w:w="100" w:type="dxa"/>
              <w:right w:w="100" w:type="dxa"/>
            </w:tcMar>
          </w:tcPr>
          <w:p w14:paraId="3309E0F9"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r>
      <w:tr w:rsidR="007F5B3F" w14:paraId="267AEE54" w14:textId="77777777" w:rsidTr="00297F23">
        <w:tc>
          <w:tcPr>
            <w:tcW w:w="2340" w:type="dxa"/>
            <w:shd w:val="clear" w:color="auto" w:fill="auto"/>
            <w:tcMar>
              <w:top w:w="100" w:type="dxa"/>
              <w:left w:w="100" w:type="dxa"/>
              <w:bottom w:w="100" w:type="dxa"/>
              <w:right w:w="100" w:type="dxa"/>
            </w:tcMar>
          </w:tcPr>
          <w:p w14:paraId="679AE639"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DECA</w:t>
            </w:r>
          </w:p>
        </w:tc>
        <w:tc>
          <w:tcPr>
            <w:tcW w:w="2340" w:type="dxa"/>
            <w:shd w:val="clear" w:color="auto" w:fill="auto"/>
            <w:tcMar>
              <w:top w:w="100" w:type="dxa"/>
              <w:left w:w="100" w:type="dxa"/>
              <w:bottom w:w="100" w:type="dxa"/>
              <w:right w:w="100" w:type="dxa"/>
            </w:tcMar>
          </w:tcPr>
          <w:p w14:paraId="3C7F183C"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340" w:type="dxa"/>
            <w:shd w:val="clear" w:color="auto" w:fill="auto"/>
            <w:tcMar>
              <w:top w:w="100" w:type="dxa"/>
              <w:left w:w="100" w:type="dxa"/>
              <w:bottom w:w="100" w:type="dxa"/>
              <w:right w:w="100" w:type="dxa"/>
            </w:tcMar>
          </w:tcPr>
          <w:p w14:paraId="72D1957A"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340" w:type="dxa"/>
            <w:shd w:val="clear" w:color="auto" w:fill="auto"/>
            <w:tcMar>
              <w:top w:w="100" w:type="dxa"/>
              <w:left w:w="100" w:type="dxa"/>
              <w:bottom w:w="100" w:type="dxa"/>
              <w:right w:w="100" w:type="dxa"/>
            </w:tcMar>
          </w:tcPr>
          <w:p w14:paraId="6D6067CC"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r>
      <w:tr w:rsidR="007F5B3F" w14:paraId="425BCA26" w14:textId="77777777" w:rsidTr="00297F23">
        <w:tc>
          <w:tcPr>
            <w:tcW w:w="2340" w:type="dxa"/>
            <w:shd w:val="clear" w:color="auto" w:fill="auto"/>
            <w:tcMar>
              <w:top w:w="100" w:type="dxa"/>
              <w:left w:w="100" w:type="dxa"/>
              <w:bottom w:w="100" w:type="dxa"/>
              <w:right w:w="100" w:type="dxa"/>
            </w:tcMar>
          </w:tcPr>
          <w:p w14:paraId="5515D1AC"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FBLA</w:t>
            </w:r>
          </w:p>
        </w:tc>
        <w:tc>
          <w:tcPr>
            <w:tcW w:w="2340" w:type="dxa"/>
            <w:shd w:val="clear" w:color="auto" w:fill="auto"/>
            <w:tcMar>
              <w:top w:w="100" w:type="dxa"/>
              <w:left w:w="100" w:type="dxa"/>
              <w:bottom w:w="100" w:type="dxa"/>
              <w:right w:w="100" w:type="dxa"/>
            </w:tcMar>
          </w:tcPr>
          <w:p w14:paraId="4119A66D"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340" w:type="dxa"/>
            <w:shd w:val="clear" w:color="auto" w:fill="auto"/>
            <w:tcMar>
              <w:top w:w="100" w:type="dxa"/>
              <w:left w:w="100" w:type="dxa"/>
              <w:bottom w:w="100" w:type="dxa"/>
              <w:right w:w="100" w:type="dxa"/>
            </w:tcMar>
          </w:tcPr>
          <w:p w14:paraId="10126F81"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340" w:type="dxa"/>
            <w:shd w:val="clear" w:color="auto" w:fill="auto"/>
            <w:tcMar>
              <w:top w:w="100" w:type="dxa"/>
              <w:left w:w="100" w:type="dxa"/>
              <w:bottom w:w="100" w:type="dxa"/>
              <w:right w:w="100" w:type="dxa"/>
            </w:tcMar>
          </w:tcPr>
          <w:p w14:paraId="2E4C5B6A" w14:textId="77777777" w:rsidR="007F5B3F" w:rsidRDefault="007F5B3F"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r>
      <w:tr w:rsidR="007F5B3F" w14:paraId="7EC663E5" w14:textId="77777777" w:rsidTr="00297F23">
        <w:tc>
          <w:tcPr>
            <w:tcW w:w="2340" w:type="dxa"/>
            <w:shd w:val="clear" w:color="auto" w:fill="auto"/>
            <w:tcMar>
              <w:top w:w="100" w:type="dxa"/>
              <w:left w:w="100" w:type="dxa"/>
              <w:bottom w:w="100" w:type="dxa"/>
              <w:right w:w="100" w:type="dxa"/>
            </w:tcMar>
          </w:tcPr>
          <w:p w14:paraId="5666E912"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FCCLA</w:t>
            </w:r>
          </w:p>
        </w:tc>
        <w:tc>
          <w:tcPr>
            <w:tcW w:w="2340" w:type="dxa"/>
            <w:shd w:val="clear" w:color="auto" w:fill="auto"/>
            <w:tcMar>
              <w:top w:w="100" w:type="dxa"/>
              <w:left w:w="100" w:type="dxa"/>
              <w:bottom w:w="100" w:type="dxa"/>
              <w:right w:w="100" w:type="dxa"/>
            </w:tcMar>
          </w:tcPr>
          <w:p w14:paraId="45084C81"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340" w:type="dxa"/>
            <w:shd w:val="clear" w:color="auto" w:fill="auto"/>
            <w:tcMar>
              <w:top w:w="100" w:type="dxa"/>
              <w:left w:w="100" w:type="dxa"/>
              <w:bottom w:w="100" w:type="dxa"/>
              <w:right w:w="100" w:type="dxa"/>
            </w:tcMar>
          </w:tcPr>
          <w:p w14:paraId="6A6BB918"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340" w:type="dxa"/>
            <w:shd w:val="clear" w:color="auto" w:fill="auto"/>
            <w:tcMar>
              <w:top w:w="100" w:type="dxa"/>
              <w:left w:w="100" w:type="dxa"/>
              <w:bottom w:w="100" w:type="dxa"/>
              <w:right w:w="100" w:type="dxa"/>
            </w:tcMar>
          </w:tcPr>
          <w:p w14:paraId="41A8AB74"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r>
      <w:tr w:rsidR="007F5B3F" w14:paraId="223DED72" w14:textId="77777777" w:rsidTr="00297F23">
        <w:tc>
          <w:tcPr>
            <w:tcW w:w="2340" w:type="dxa"/>
            <w:shd w:val="clear" w:color="auto" w:fill="auto"/>
            <w:tcMar>
              <w:top w:w="100" w:type="dxa"/>
              <w:left w:w="100" w:type="dxa"/>
              <w:bottom w:w="100" w:type="dxa"/>
              <w:right w:w="100" w:type="dxa"/>
            </w:tcMar>
          </w:tcPr>
          <w:p w14:paraId="1BF33178"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FFA</w:t>
            </w:r>
          </w:p>
        </w:tc>
        <w:tc>
          <w:tcPr>
            <w:tcW w:w="2340" w:type="dxa"/>
            <w:shd w:val="clear" w:color="auto" w:fill="auto"/>
            <w:tcMar>
              <w:top w:w="100" w:type="dxa"/>
              <w:left w:w="100" w:type="dxa"/>
              <w:bottom w:w="100" w:type="dxa"/>
              <w:right w:w="100" w:type="dxa"/>
            </w:tcMar>
          </w:tcPr>
          <w:p w14:paraId="5BBD8403"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340" w:type="dxa"/>
            <w:shd w:val="clear" w:color="auto" w:fill="auto"/>
            <w:tcMar>
              <w:top w:w="100" w:type="dxa"/>
              <w:left w:w="100" w:type="dxa"/>
              <w:bottom w:w="100" w:type="dxa"/>
              <w:right w:w="100" w:type="dxa"/>
            </w:tcMar>
          </w:tcPr>
          <w:p w14:paraId="107E4281"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340" w:type="dxa"/>
            <w:shd w:val="clear" w:color="auto" w:fill="auto"/>
            <w:tcMar>
              <w:top w:w="100" w:type="dxa"/>
              <w:left w:w="100" w:type="dxa"/>
              <w:bottom w:w="100" w:type="dxa"/>
              <w:right w:w="100" w:type="dxa"/>
            </w:tcMar>
          </w:tcPr>
          <w:p w14:paraId="56CA196A"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r>
      <w:tr w:rsidR="007F5B3F" w14:paraId="679E2250" w14:textId="77777777" w:rsidTr="00297F23">
        <w:tc>
          <w:tcPr>
            <w:tcW w:w="2340" w:type="dxa"/>
            <w:shd w:val="clear" w:color="auto" w:fill="auto"/>
            <w:tcMar>
              <w:top w:w="100" w:type="dxa"/>
              <w:left w:w="100" w:type="dxa"/>
              <w:bottom w:w="100" w:type="dxa"/>
              <w:right w:w="100" w:type="dxa"/>
            </w:tcMar>
          </w:tcPr>
          <w:p w14:paraId="3CCB0482"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HOSA</w:t>
            </w:r>
          </w:p>
        </w:tc>
        <w:tc>
          <w:tcPr>
            <w:tcW w:w="2340" w:type="dxa"/>
            <w:shd w:val="clear" w:color="auto" w:fill="auto"/>
            <w:tcMar>
              <w:top w:w="100" w:type="dxa"/>
              <w:left w:w="100" w:type="dxa"/>
              <w:bottom w:w="100" w:type="dxa"/>
              <w:right w:w="100" w:type="dxa"/>
            </w:tcMar>
          </w:tcPr>
          <w:p w14:paraId="5378BDC0"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340" w:type="dxa"/>
            <w:shd w:val="clear" w:color="auto" w:fill="auto"/>
            <w:tcMar>
              <w:top w:w="100" w:type="dxa"/>
              <w:left w:w="100" w:type="dxa"/>
              <w:bottom w:w="100" w:type="dxa"/>
              <w:right w:w="100" w:type="dxa"/>
            </w:tcMar>
          </w:tcPr>
          <w:p w14:paraId="5A145660"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340" w:type="dxa"/>
            <w:shd w:val="clear" w:color="auto" w:fill="auto"/>
            <w:tcMar>
              <w:top w:w="100" w:type="dxa"/>
              <w:left w:w="100" w:type="dxa"/>
              <w:bottom w:w="100" w:type="dxa"/>
              <w:right w:w="100" w:type="dxa"/>
            </w:tcMar>
          </w:tcPr>
          <w:p w14:paraId="594282BB"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r>
      <w:tr w:rsidR="007F5B3F" w14:paraId="6DC504A4" w14:textId="77777777" w:rsidTr="00297F23">
        <w:tc>
          <w:tcPr>
            <w:tcW w:w="2340" w:type="dxa"/>
            <w:shd w:val="clear" w:color="auto" w:fill="auto"/>
            <w:tcMar>
              <w:top w:w="100" w:type="dxa"/>
              <w:left w:w="100" w:type="dxa"/>
              <w:bottom w:w="100" w:type="dxa"/>
              <w:right w:w="100" w:type="dxa"/>
            </w:tcMar>
          </w:tcPr>
          <w:p w14:paraId="389743DC"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PALS</w:t>
            </w:r>
          </w:p>
        </w:tc>
        <w:tc>
          <w:tcPr>
            <w:tcW w:w="2340" w:type="dxa"/>
            <w:shd w:val="clear" w:color="auto" w:fill="auto"/>
            <w:tcMar>
              <w:top w:w="100" w:type="dxa"/>
              <w:left w:w="100" w:type="dxa"/>
              <w:bottom w:w="100" w:type="dxa"/>
              <w:right w:w="100" w:type="dxa"/>
            </w:tcMar>
          </w:tcPr>
          <w:p w14:paraId="1E131EDF" w14:textId="77777777" w:rsidR="007F5B3F" w:rsidRDefault="007F5B3F"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2340" w:type="dxa"/>
            <w:shd w:val="clear" w:color="auto" w:fill="auto"/>
            <w:tcMar>
              <w:top w:w="100" w:type="dxa"/>
              <w:left w:w="100" w:type="dxa"/>
              <w:bottom w:w="100" w:type="dxa"/>
              <w:right w:w="100" w:type="dxa"/>
            </w:tcMar>
          </w:tcPr>
          <w:p w14:paraId="5E942395"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340" w:type="dxa"/>
            <w:shd w:val="clear" w:color="auto" w:fill="auto"/>
            <w:tcMar>
              <w:top w:w="100" w:type="dxa"/>
              <w:left w:w="100" w:type="dxa"/>
              <w:bottom w:w="100" w:type="dxa"/>
              <w:right w:w="100" w:type="dxa"/>
            </w:tcMar>
          </w:tcPr>
          <w:p w14:paraId="7425EB69" w14:textId="77777777" w:rsidR="007F5B3F" w:rsidRDefault="007F5B3F"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r>
      <w:tr w:rsidR="007F5B3F" w14:paraId="3EACC1F3" w14:textId="77777777" w:rsidTr="00297F23">
        <w:tc>
          <w:tcPr>
            <w:tcW w:w="2340" w:type="dxa"/>
            <w:shd w:val="clear" w:color="auto" w:fill="auto"/>
            <w:tcMar>
              <w:top w:w="100" w:type="dxa"/>
              <w:left w:w="100" w:type="dxa"/>
              <w:bottom w:w="100" w:type="dxa"/>
              <w:right w:w="100" w:type="dxa"/>
            </w:tcMar>
          </w:tcPr>
          <w:p w14:paraId="3A4FFE31"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SkillsUSA</w:t>
            </w:r>
          </w:p>
        </w:tc>
        <w:tc>
          <w:tcPr>
            <w:tcW w:w="2340" w:type="dxa"/>
            <w:shd w:val="clear" w:color="auto" w:fill="auto"/>
            <w:tcMar>
              <w:top w:w="100" w:type="dxa"/>
              <w:left w:w="100" w:type="dxa"/>
              <w:bottom w:w="100" w:type="dxa"/>
              <w:right w:w="100" w:type="dxa"/>
            </w:tcMar>
          </w:tcPr>
          <w:p w14:paraId="29D765F5"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340" w:type="dxa"/>
            <w:shd w:val="clear" w:color="auto" w:fill="auto"/>
            <w:tcMar>
              <w:top w:w="100" w:type="dxa"/>
              <w:left w:w="100" w:type="dxa"/>
              <w:bottom w:w="100" w:type="dxa"/>
              <w:right w:w="100" w:type="dxa"/>
            </w:tcMar>
          </w:tcPr>
          <w:p w14:paraId="476F3EC5"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340" w:type="dxa"/>
            <w:shd w:val="clear" w:color="auto" w:fill="auto"/>
            <w:tcMar>
              <w:top w:w="100" w:type="dxa"/>
              <w:left w:w="100" w:type="dxa"/>
              <w:bottom w:w="100" w:type="dxa"/>
              <w:right w:w="100" w:type="dxa"/>
            </w:tcMar>
          </w:tcPr>
          <w:p w14:paraId="11C7F272"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r>
      <w:tr w:rsidR="007F5B3F" w14:paraId="09DF8A48" w14:textId="77777777" w:rsidTr="00297F23">
        <w:tc>
          <w:tcPr>
            <w:tcW w:w="2340" w:type="dxa"/>
            <w:shd w:val="clear" w:color="auto" w:fill="auto"/>
            <w:tcMar>
              <w:top w:w="100" w:type="dxa"/>
              <w:left w:w="100" w:type="dxa"/>
              <w:bottom w:w="100" w:type="dxa"/>
              <w:right w:w="100" w:type="dxa"/>
            </w:tcMar>
          </w:tcPr>
          <w:p w14:paraId="04996C82"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TSA</w:t>
            </w:r>
          </w:p>
        </w:tc>
        <w:tc>
          <w:tcPr>
            <w:tcW w:w="2340" w:type="dxa"/>
            <w:shd w:val="clear" w:color="auto" w:fill="auto"/>
            <w:tcMar>
              <w:top w:w="100" w:type="dxa"/>
              <w:left w:w="100" w:type="dxa"/>
              <w:bottom w:w="100" w:type="dxa"/>
              <w:right w:w="100" w:type="dxa"/>
            </w:tcMar>
          </w:tcPr>
          <w:p w14:paraId="0CE479EB"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340" w:type="dxa"/>
            <w:shd w:val="clear" w:color="auto" w:fill="auto"/>
            <w:tcMar>
              <w:top w:w="100" w:type="dxa"/>
              <w:left w:w="100" w:type="dxa"/>
              <w:bottom w:w="100" w:type="dxa"/>
              <w:right w:w="100" w:type="dxa"/>
            </w:tcMar>
          </w:tcPr>
          <w:p w14:paraId="3425D2CF"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340" w:type="dxa"/>
            <w:shd w:val="clear" w:color="auto" w:fill="auto"/>
            <w:tcMar>
              <w:top w:w="100" w:type="dxa"/>
              <w:left w:w="100" w:type="dxa"/>
              <w:bottom w:w="100" w:type="dxa"/>
              <w:right w:w="100" w:type="dxa"/>
            </w:tcMar>
          </w:tcPr>
          <w:p w14:paraId="2A153002" w14:textId="77777777" w:rsidR="007F5B3F" w:rsidRDefault="007F5B3F"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r>
    </w:tbl>
    <w:p w14:paraId="5FC89F8E" w14:textId="77777777" w:rsidR="007F5B3F" w:rsidRDefault="007F5B3F">
      <w:pPr>
        <w:rPr>
          <w:rFonts w:ascii="Times New Roman" w:eastAsia="Times New Roman" w:hAnsi="Times New Roman" w:cs="Times New Roman"/>
          <w:sz w:val="24"/>
          <w:szCs w:val="24"/>
        </w:rPr>
      </w:pPr>
    </w:p>
    <w:p w14:paraId="7DCC132D" w14:textId="665227C2" w:rsidR="007F5B3F"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Integration &amp; Fulfillment of Needs</w:t>
      </w:r>
    </w:p>
    <w:p w14:paraId="19089990" w14:textId="2CEABA02" w:rsidR="007F5B3F" w:rsidRDefault="00000000">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contents of each organization’s website discussed the various positive reasons to become a member or add a chapter of their group to your school. Among this information, </w:t>
      </w:r>
      <w:proofErr w:type="gramStart"/>
      <w:r>
        <w:rPr>
          <w:rFonts w:ascii="Times New Roman" w:eastAsia="Times New Roman" w:hAnsi="Times New Roman" w:cs="Times New Roman"/>
          <w:sz w:val="24"/>
          <w:szCs w:val="24"/>
        </w:rPr>
        <w:t>many</w:t>
      </w:r>
      <w:proofErr w:type="gramEnd"/>
      <w:r>
        <w:rPr>
          <w:rFonts w:ascii="Times New Roman" w:eastAsia="Times New Roman" w:hAnsi="Times New Roman" w:cs="Times New Roman"/>
          <w:sz w:val="24"/>
          <w:szCs w:val="24"/>
        </w:rPr>
        <w:t xml:space="preserve"> of the organizations shared expectations about the actions of members at events, </w:t>
      </w:r>
      <w:r w:rsidR="00500239">
        <w:rPr>
          <w:rFonts w:ascii="Times New Roman" w:eastAsia="Times New Roman" w:hAnsi="Times New Roman" w:cs="Times New Roman"/>
          <w:sz w:val="24"/>
          <w:szCs w:val="24"/>
        </w:rPr>
        <w:t>mission,</w:t>
      </w:r>
      <w:r>
        <w:rPr>
          <w:rFonts w:ascii="Times New Roman" w:eastAsia="Times New Roman" w:hAnsi="Times New Roman" w:cs="Times New Roman"/>
          <w:sz w:val="24"/>
          <w:szCs w:val="24"/>
        </w:rPr>
        <w:t xml:space="preserve"> and vision statements to discuss their goals as a group, and value statements to provide </w:t>
      </w:r>
      <w:r w:rsidR="00500239">
        <w:rPr>
          <w:rFonts w:ascii="Times New Roman" w:eastAsia="Times New Roman" w:hAnsi="Times New Roman" w:cs="Times New Roman"/>
          <w:sz w:val="24"/>
          <w:szCs w:val="24"/>
        </w:rPr>
        <w:t>specific</w:t>
      </w:r>
      <w:r>
        <w:rPr>
          <w:rFonts w:ascii="Times New Roman" w:eastAsia="Times New Roman" w:hAnsi="Times New Roman" w:cs="Times New Roman"/>
          <w:sz w:val="24"/>
          <w:szCs w:val="24"/>
        </w:rPr>
        <w:t xml:space="preserve"> information about the culture of the organization. Beyond these needs, many of these organizations make statements and provide evidence about the career and college readiness of their members due to certificates, scholarships, and skill development. The table below summarizes the </w:t>
      </w:r>
      <w:r w:rsidR="00500239">
        <w:rPr>
          <w:rFonts w:ascii="Times New Roman" w:eastAsia="Times New Roman" w:hAnsi="Times New Roman" w:cs="Times New Roman"/>
          <w:sz w:val="24"/>
          <w:szCs w:val="24"/>
        </w:rPr>
        <w:t>diverse types</w:t>
      </w:r>
      <w:r>
        <w:rPr>
          <w:rFonts w:ascii="Times New Roman" w:eastAsia="Times New Roman" w:hAnsi="Times New Roman" w:cs="Times New Roman"/>
          <w:sz w:val="24"/>
          <w:szCs w:val="24"/>
        </w:rPr>
        <w:t xml:space="preserve"> of communication provided on the websites of these CTSOs regarding integration and fulfillment of needs. </w:t>
      </w:r>
    </w:p>
    <w:p w14:paraId="79F7F8A9" w14:textId="77777777" w:rsidR="007F5B3F" w:rsidRDefault="007F5B3F">
      <w:pPr>
        <w:ind w:firstLine="720"/>
        <w:rPr>
          <w:rFonts w:ascii="Times New Roman" w:eastAsia="Times New Roman" w:hAnsi="Times New Roman" w:cs="Times New Roman"/>
          <w:sz w:val="24"/>
          <w:szCs w:val="24"/>
        </w:rPr>
      </w:pPr>
    </w:p>
    <w:p w14:paraId="390B52F2" w14:textId="77777777" w:rsidR="007F5B3F"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3</w:t>
      </w:r>
    </w:p>
    <w:p w14:paraId="0279E8F5" w14:textId="77777777" w:rsidR="007F5B3F" w:rsidRDefault="00000000">
      <w:pP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Summary of Integration &amp; Fulfillment of Needs Contents of Websites</w:t>
      </w:r>
    </w:p>
    <w:p w14:paraId="19EAA6B8" w14:textId="77777777" w:rsidR="007F5B3F" w:rsidRDefault="007F5B3F">
      <w:pPr>
        <w:rPr>
          <w:rFonts w:ascii="Times New Roman" w:eastAsia="Times New Roman" w:hAnsi="Times New Roman" w:cs="Times New Roman"/>
          <w:b/>
          <w:bCs/>
          <w:i/>
          <w:iCs/>
          <w:sz w:val="24"/>
          <w:szCs w:val="24"/>
        </w:rPr>
      </w:pPr>
    </w:p>
    <w:tbl>
      <w:tblPr>
        <w:tblStyle w:val="a2"/>
        <w:tblW w:w="9710" w:type="dxa"/>
        <w:tblInd w:w="0" w:type="dxa"/>
        <w:tblBorders>
          <w:top w:val="single" w:sz="8" w:space="0" w:color="000000"/>
          <w:bottom w:val="single" w:sz="8" w:space="0" w:color="000000"/>
        </w:tblBorders>
        <w:tblLayout w:type="fixed"/>
        <w:tblLook w:val="0600" w:firstRow="0" w:lastRow="0" w:firstColumn="0" w:lastColumn="0" w:noHBand="1" w:noVBand="1"/>
      </w:tblPr>
      <w:tblGrid>
        <w:gridCol w:w="1872"/>
        <w:gridCol w:w="1872"/>
        <w:gridCol w:w="1872"/>
        <w:gridCol w:w="1872"/>
        <w:gridCol w:w="2222"/>
      </w:tblGrid>
      <w:tr w:rsidR="007F5B3F" w14:paraId="19D1D44B" w14:textId="77777777" w:rsidTr="007F08C3">
        <w:tc>
          <w:tcPr>
            <w:tcW w:w="1872" w:type="dxa"/>
            <w:tcBorders>
              <w:top w:val="single" w:sz="8" w:space="0" w:color="000000"/>
              <w:bottom w:val="single" w:sz="4" w:space="0" w:color="auto"/>
            </w:tcBorders>
            <w:shd w:val="clear" w:color="auto" w:fill="auto"/>
            <w:tcMar>
              <w:top w:w="100" w:type="dxa"/>
              <w:left w:w="100" w:type="dxa"/>
              <w:bottom w:w="100" w:type="dxa"/>
              <w:right w:w="100" w:type="dxa"/>
            </w:tcMar>
          </w:tcPr>
          <w:p w14:paraId="5A0A9EA9"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Organization</w:t>
            </w:r>
          </w:p>
        </w:tc>
        <w:tc>
          <w:tcPr>
            <w:tcW w:w="1872" w:type="dxa"/>
            <w:tcBorders>
              <w:top w:val="single" w:sz="8" w:space="0" w:color="000000"/>
              <w:bottom w:val="single" w:sz="4" w:space="0" w:color="auto"/>
            </w:tcBorders>
            <w:shd w:val="clear" w:color="auto" w:fill="auto"/>
            <w:tcMar>
              <w:top w:w="100" w:type="dxa"/>
              <w:left w:w="100" w:type="dxa"/>
              <w:bottom w:w="100" w:type="dxa"/>
              <w:right w:w="100" w:type="dxa"/>
            </w:tcMar>
          </w:tcPr>
          <w:p w14:paraId="6475A49D"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Mission and Vision Statements</w:t>
            </w:r>
          </w:p>
        </w:tc>
        <w:tc>
          <w:tcPr>
            <w:tcW w:w="1872" w:type="dxa"/>
            <w:tcBorders>
              <w:top w:val="single" w:sz="8" w:space="0" w:color="000000"/>
              <w:bottom w:val="single" w:sz="4" w:space="0" w:color="auto"/>
            </w:tcBorders>
            <w:shd w:val="clear" w:color="auto" w:fill="auto"/>
            <w:tcMar>
              <w:top w:w="100" w:type="dxa"/>
              <w:left w:w="100" w:type="dxa"/>
              <w:bottom w:w="100" w:type="dxa"/>
              <w:right w:w="100" w:type="dxa"/>
            </w:tcMar>
          </w:tcPr>
          <w:p w14:paraId="10391878"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Value Statements</w:t>
            </w:r>
          </w:p>
        </w:tc>
        <w:tc>
          <w:tcPr>
            <w:tcW w:w="1872" w:type="dxa"/>
            <w:tcBorders>
              <w:top w:val="single" w:sz="8" w:space="0" w:color="000000"/>
              <w:bottom w:val="single" w:sz="4" w:space="0" w:color="auto"/>
            </w:tcBorders>
            <w:shd w:val="clear" w:color="auto" w:fill="auto"/>
            <w:tcMar>
              <w:top w:w="100" w:type="dxa"/>
              <w:left w:w="100" w:type="dxa"/>
              <w:bottom w:w="100" w:type="dxa"/>
              <w:right w:w="100" w:type="dxa"/>
            </w:tcMar>
          </w:tcPr>
          <w:p w14:paraId="796C699D"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Career and College Readiness</w:t>
            </w:r>
          </w:p>
        </w:tc>
        <w:tc>
          <w:tcPr>
            <w:tcW w:w="2222" w:type="dxa"/>
            <w:tcBorders>
              <w:top w:val="single" w:sz="8" w:space="0" w:color="000000"/>
              <w:bottom w:val="single" w:sz="4" w:space="0" w:color="auto"/>
            </w:tcBorders>
            <w:shd w:val="clear" w:color="auto" w:fill="auto"/>
            <w:tcMar>
              <w:top w:w="100" w:type="dxa"/>
              <w:left w:w="100" w:type="dxa"/>
              <w:bottom w:w="100" w:type="dxa"/>
              <w:right w:w="100" w:type="dxa"/>
            </w:tcMar>
          </w:tcPr>
          <w:p w14:paraId="4F1CAAD0"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Non-Discrimination and/or Belonging Statement</w:t>
            </w:r>
          </w:p>
        </w:tc>
      </w:tr>
      <w:tr w:rsidR="007F5B3F" w14:paraId="01C74BE0" w14:textId="77777777" w:rsidTr="007F08C3">
        <w:tc>
          <w:tcPr>
            <w:tcW w:w="1872" w:type="dxa"/>
            <w:tcBorders>
              <w:top w:val="single" w:sz="4" w:space="0" w:color="auto"/>
            </w:tcBorders>
            <w:shd w:val="clear" w:color="auto" w:fill="auto"/>
            <w:tcMar>
              <w:top w:w="100" w:type="dxa"/>
              <w:left w:w="100" w:type="dxa"/>
              <w:bottom w:w="100" w:type="dxa"/>
              <w:right w:w="100" w:type="dxa"/>
            </w:tcMar>
          </w:tcPr>
          <w:p w14:paraId="21C9F5D9"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BPA</w:t>
            </w:r>
          </w:p>
        </w:tc>
        <w:tc>
          <w:tcPr>
            <w:tcW w:w="1872" w:type="dxa"/>
            <w:tcBorders>
              <w:top w:val="single" w:sz="4" w:space="0" w:color="auto"/>
            </w:tcBorders>
            <w:shd w:val="clear" w:color="auto" w:fill="auto"/>
            <w:tcMar>
              <w:top w:w="100" w:type="dxa"/>
              <w:left w:w="100" w:type="dxa"/>
              <w:bottom w:w="100" w:type="dxa"/>
              <w:right w:w="100" w:type="dxa"/>
            </w:tcMar>
          </w:tcPr>
          <w:p w14:paraId="5BE94CF0"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72" w:type="dxa"/>
            <w:tcBorders>
              <w:top w:val="single" w:sz="4" w:space="0" w:color="auto"/>
            </w:tcBorders>
            <w:shd w:val="clear" w:color="auto" w:fill="auto"/>
            <w:tcMar>
              <w:top w:w="100" w:type="dxa"/>
              <w:left w:w="100" w:type="dxa"/>
              <w:bottom w:w="100" w:type="dxa"/>
              <w:right w:w="100" w:type="dxa"/>
            </w:tcMar>
          </w:tcPr>
          <w:p w14:paraId="20397B7D"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72" w:type="dxa"/>
            <w:tcBorders>
              <w:top w:val="single" w:sz="4" w:space="0" w:color="auto"/>
            </w:tcBorders>
            <w:shd w:val="clear" w:color="auto" w:fill="auto"/>
            <w:tcMar>
              <w:top w:w="100" w:type="dxa"/>
              <w:left w:w="100" w:type="dxa"/>
              <w:bottom w:w="100" w:type="dxa"/>
              <w:right w:w="100" w:type="dxa"/>
            </w:tcMar>
          </w:tcPr>
          <w:p w14:paraId="58433E41"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222" w:type="dxa"/>
            <w:tcBorders>
              <w:top w:val="single" w:sz="4" w:space="0" w:color="auto"/>
            </w:tcBorders>
            <w:shd w:val="clear" w:color="auto" w:fill="auto"/>
            <w:tcMar>
              <w:top w:w="100" w:type="dxa"/>
              <w:left w:w="100" w:type="dxa"/>
              <w:bottom w:w="100" w:type="dxa"/>
              <w:right w:w="100" w:type="dxa"/>
            </w:tcMar>
          </w:tcPr>
          <w:p w14:paraId="26B82745"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r>
      <w:tr w:rsidR="007F5B3F" w14:paraId="03AB0F2D" w14:textId="77777777" w:rsidTr="00297F23">
        <w:tc>
          <w:tcPr>
            <w:tcW w:w="1872" w:type="dxa"/>
            <w:shd w:val="clear" w:color="auto" w:fill="auto"/>
            <w:tcMar>
              <w:top w:w="100" w:type="dxa"/>
              <w:left w:w="100" w:type="dxa"/>
              <w:bottom w:w="100" w:type="dxa"/>
              <w:right w:w="100" w:type="dxa"/>
            </w:tcMar>
          </w:tcPr>
          <w:p w14:paraId="55B680A1"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DECA</w:t>
            </w:r>
          </w:p>
        </w:tc>
        <w:tc>
          <w:tcPr>
            <w:tcW w:w="1872" w:type="dxa"/>
            <w:shd w:val="clear" w:color="auto" w:fill="auto"/>
            <w:tcMar>
              <w:top w:w="100" w:type="dxa"/>
              <w:left w:w="100" w:type="dxa"/>
              <w:bottom w:w="100" w:type="dxa"/>
              <w:right w:w="100" w:type="dxa"/>
            </w:tcMar>
          </w:tcPr>
          <w:p w14:paraId="5571796E"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72" w:type="dxa"/>
            <w:shd w:val="clear" w:color="auto" w:fill="auto"/>
            <w:tcMar>
              <w:top w:w="100" w:type="dxa"/>
              <w:left w:w="100" w:type="dxa"/>
              <w:bottom w:w="100" w:type="dxa"/>
              <w:right w:w="100" w:type="dxa"/>
            </w:tcMar>
          </w:tcPr>
          <w:p w14:paraId="7D4C52BD"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72" w:type="dxa"/>
            <w:shd w:val="clear" w:color="auto" w:fill="auto"/>
            <w:tcMar>
              <w:top w:w="100" w:type="dxa"/>
              <w:left w:w="100" w:type="dxa"/>
              <w:bottom w:w="100" w:type="dxa"/>
              <w:right w:w="100" w:type="dxa"/>
            </w:tcMar>
          </w:tcPr>
          <w:p w14:paraId="740F1E6F"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222" w:type="dxa"/>
            <w:shd w:val="clear" w:color="auto" w:fill="auto"/>
            <w:tcMar>
              <w:top w:w="100" w:type="dxa"/>
              <w:left w:w="100" w:type="dxa"/>
              <w:bottom w:w="100" w:type="dxa"/>
              <w:right w:w="100" w:type="dxa"/>
            </w:tcMar>
          </w:tcPr>
          <w:p w14:paraId="030F793F" w14:textId="77777777" w:rsidR="007F5B3F" w:rsidRDefault="007F5B3F"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r>
      <w:tr w:rsidR="007F5B3F" w14:paraId="13408A9C" w14:textId="77777777" w:rsidTr="00297F23">
        <w:tc>
          <w:tcPr>
            <w:tcW w:w="1872" w:type="dxa"/>
            <w:shd w:val="clear" w:color="auto" w:fill="auto"/>
            <w:tcMar>
              <w:top w:w="100" w:type="dxa"/>
              <w:left w:w="100" w:type="dxa"/>
              <w:bottom w:w="100" w:type="dxa"/>
              <w:right w:w="100" w:type="dxa"/>
            </w:tcMar>
          </w:tcPr>
          <w:p w14:paraId="5471E80C"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FBLA</w:t>
            </w:r>
          </w:p>
        </w:tc>
        <w:tc>
          <w:tcPr>
            <w:tcW w:w="1872" w:type="dxa"/>
            <w:shd w:val="clear" w:color="auto" w:fill="auto"/>
            <w:tcMar>
              <w:top w:w="100" w:type="dxa"/>
              <w:left w:w="100" w:type="dxa"/>
              <w:bottom w:w="100" w:type="dxa"/>
              <w:right w:w="100" w:type="dxa"/>
            </w:tcMar>
          </w:tcPr>
          <w:p w14:paraId="30DFF5C2"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72" w:type="dxa"/>
            <w:shd w:val="clear" w:color="auto" w:fill="auto"/>
            <w:tcMar>
              <w:top w:w="100" w:type="dxa"/>
              <w:left w:w="100" w:type="dxa"/>
              <w:bottom w:w="100" w:type="dxa"/>
              <w:right w:w="100" w:type="dxa"/>
            </w:tcMar>
          </w:tcPr>
          <w:p w14:paraId="1AE3E321"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72" w:type="dxa"/>
            <w:shd w:val="clear" w:color="auto" w:fill="auto"/>
            <w:tcMar>
              <w:top w:w="100" w:type="dxa"/>
              <w:left w:w="100" w:type="dxa"/>
              <w:bottom w:w="100" w:type="dxa"/>
              <w:right w:w="100" w:type="dxa"/>
            </w:tcMar>
          </w:tcPr>
          <w:p w14:paraId="338D1FB0"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222" w:type="dxa"/>
            <w:shd w:val="clear" w:color="auto" w:fill="auto"/>
            <w:tcMar>
              <w:top w:w="100" w:type="dxa"/>
              <w:left w:w="100" w:type="dxa"/>
              <w:bottom w:w="100" w:type="dxa"/>
              <w:right w:w="100" w:type="dxa"/>
            </w:tcMar>
          </w:tcPr>
          <w:p w14:paraId="48056D57"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r>
      <w:tr w:rsidR="007F5B3F" w14:paraId="4FC7AC92" w14:textId="77777777" w:rsidTr="00297F23">
        <w:tc>
          <w:tcPr>
            <w:tcW w:w="1872" w:type="dxa"/>
            <w:shd w:val="clear" w:color="auto" w:fill="auto"/>
            <w:tcMar>
              <w:top w:w="100" w:type="dxa"/>
              <w:left w:w="100" w:type="dxa"/>
              <w:bottom w:w="100" w:type="dxa"/>
              <w:right w:w="100" w:type="dxa"/>
            </w:tcMar>
          </w:tcPr>
          <w:p w14:paraId="2E123AA5"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FCCLA</w:t>
            </w:r>
          </w:p>
        </w:tc>
        <w:tc>
          <w:tcPr>
            <w:tcW w:w="1872" w:type="dxa"/>
            <w:shd w:val="clear" w:color="auto" w:fill="auto"/>
            <w:tcMar>
              <w:top w:w="100" w:type="dxa"/>
              <w:left w:w="100" w:type="dxa"/>
              <w:bottom w:w="100" w:type="dxa"/>
              <w:right w:w="100" w:type="dxa"/>
            </w:tcMar>
          </w:tcPr>
          <w:p w14:paraId="0C6099B8"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72" w:type="dxa"/>
            <w:shd w:val="clear" w:color="auto" w:fill="auto"/>
            <w:tcMar>
              <w:top w:w="100" w:type="dxa"/>
              <w:left w:w="100" w:type="dxa"/>
              <w:bottom w:w="100" w:type="dxa"/>
              <w:right w:w="100" w:type="dxa"/>
            </w:tcMar>
          </w:tcPr>
          <w:p w14:paraId="70F5F026"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72" w:type="dxa"/>
            <w:shd w:val="clear" w:color="auto" w:fill="auto"/>
            <w:tcMar>
              <w:top w:w="100" w:type="dxa"/>
              <w:left w:w="100" w:type="dxa"/>
              <w:bottom w:w="100" w:type="dxa"/>
              <w:right w:w="100" w:type="dxa"/>
            </w:tcMar>
          </w:tcPr>
          <w:p w14:paraId="260AC683"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222" w:type="dxa"/>
            <w:shd w:val="clear" w:color="auto" w:fill="auto"/>
            <w:tcMar>
              <w:top w:w="100" w:type="dxa"/>
              <w:left w:w="100" w:type="dxa"/>
              <w:bottom w:w="100" w:type="dxa"/>
              <w:right w:w="100" w:type="dxa"/>
            </w:tcMar>
          </w:tcPr>
          <w:p w14:paraId="066E47DD"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r>
      <w:tr w:rsidR="007F5B3F" w14:paraId="6ED0F417" w14:textId="77777777" w:rsidTr="00297F23">
        <w:tc>
          <w:tcPr>
            <w:tcW w:w="1872" w:type="dxa"/>
            <w:shd w:val="clear" w:color="auto" w:fill="auto"/>
            <w:tcMar>
              <w:top w:w="100" w:type="dxa"/>
              <w:left w:w="100" w:type="dxa"/>
              <w:bottom w:w="100" w:type="dxa"/>
              <w:right w:w="100" w:type="dxa"/>
            </w:tcMar>
          </w:tcPr>
          <w:p w14:paraId="3A343B39"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FFA</w:t>
            </w:r>
          </w:p>
        </w:tc>
        <w:tc>
          <w:tcPr>
            <w:tcW w:w="1872" w:type="dxa"/>
            <w:shd w:val="clear" w:color="auto" w:fill="auto"/>
            <w:tcMar>
              <w:top w:w="100" w:type="dxa"/>
              <w:left w:w="100" w:type="dxa"/>
              <w:bottom w:w="100" w:type="dxa"/>
              <w:right w:w="100" w:type="dxa"/>
            </w:tcMar>
          </w:tcPr>
          <w:p w14:paraId="00D0DFEA"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72" w:type="dxa"/>
            <w:shd w:val="clear" w:color="auto" w:fill="auto"/>
            <w:tcMar>
              <w:top w:w="100" w:type="dxa"/>
              <w:left w:w="100" w:type="dxa"/>
              <w:bottom w:w="100" w:type="dxa"/>
              <w:right w:w="100" w:type="dxa"/>
            </w:tcMar>
          </w:tcPr>
          <w:p w14:paraId="682ABE31"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72" w:type="dxa"/>
            <w:shd w:val="clear" w:color="auto" w:fill="auto"/>
            <w:tcMar>
              <w:top w:w="100" w:type="dxa"/>
              <w:left w:w="100" w:type="dxa"/>
              <w:bottom w:w="100" w:type="dxa"/>
              <w:right w:w="100" w:type="dxa"/>
            </w:tcMar>
          </w:tcPr>
          <w:p w14:paraId="4ACF41C2"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222" w:type="dxa"/>
            <w:shd w:val="clear" w:color="auto" w:fill="auto"/>
            <w:tcMar>
              <w:top w:w="100" w:type="dxa"/>
              <w:left w:w="100" w:type="dxa"/>
              <w:bottom w:w="100" w:type="dxa"/>
              <w:right w:w="100" w:type="dxa"/>
            </w:tcMar>
          </w:tcPr>
          <w:p w14:paraId="0C1A7A42"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r>
      <w:tr w:rsidR="007F5B3F" w14:paraId="3AAEAA82" w14:textId="77777777" w:rsidTr="00297F23">
        <w:tc>
          <w:tcPr>
            <w:tcW w:w="1872" w:type="dxa"/>
            <w:shd w:val="clear" w:color="auto" w:fill="auto"/>
            <w:tcMar>
              <w:top w:w="100" w:type="dxa"/>
              <w:left w:w="100" w:type="dxa"/>
              <w:bottom w:w="100" w:type="dxa"/>
              <w:right w:w="100" w:type="dxa"/>
            </w:tcMar>
          </w:tcPr>
          <w:p w14:paraId="61310672"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HOSA</w:t>
            </w:r>
          </w:p>
        </w:tc>
        <w:tc>
          <w:tcPr>
            <w:tcW w:w="1872" w:type="dxa"/>
            <w:shd w:val="clear" w:color="auto" w:fill="auto"/>
            <w:tcMar>
              <w:top w:w="100" w:type="dxa"/>
              <w:left w:w="100" w:type="dxa"/>
              <w:bottom w:w="100" w:type="dxa"/>
              <w:right w:w="100" w:type="dxa"/>
            </w:tcMar>
          </w:tcPr>
          <w:p w14:paraId="30D1396D"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72" w:type="dxa"/>
            <w:shd w:val="clear" w:color="auto" w:fill="auto"/>
            <w:tcMar>
              <w:top w:w="100" w:type="dxa"/>
              <w:left w:w="100" w:type="dxa"/>
              <w:bottom w:w="100" w:type="dxa"/>
              <w:right w:w="100" w:type="dxa"/>
            </w:tcMar>
          </w:tcPr>
          <w:p w14:paraId="6594E7A8"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72" w:type="dxa"/>
            <w:shd w:val="clear" w:color="auto" w:fill="auto"/>
            <w:tcMar>
              <w:top w:w="100" w:type="dxa"/>
              <w:left w:w="100" w:type="dxa"/>
              <w:bottom w:w="100" w:type="dxa"/>
              <w:right w:w="100" w:type="dxa"/>
            </w:tcMar>
          </w:tcPr>
          <w:p w14:paraId="1C8808CD"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222" w:type="dxa"/>
            <w:shd w:val="clear" w:color="auto" w:fill="auto"/>
            <w:tcMar>
              <w:top w:w="100" w:type="dxa"/>
              <w:left w:w="100" w:type="dxa"/>
              <w:bottom w:w="100" w:type="dxa"/>
              <w:right w:w="100" w:type="dxa"/>
            </w:tcMar>
          </w:tcPr>
          <w:p w14:paraId="29C6621D" w14:textId="77777777" w:rsidR="007F5B3F" w:rsidRDefault="007F5B3F"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r>
      <w:tr w:rsidR="007F5B3F" w14:paraId="4A2FB7CE" w14:textId="77777777" w:rsidTr="00297F23">
        <w:tc>
          <w:tcPr>
            <w:tcW w:w="1872" w:type="dxa"/>
            <w:shd w:val="clear" w:color="auto" w:fill="auto"/>
            <w:tcMar>
              <w:top w:w="100" w:type="dxa"/>
              <w:left w:w="100" w:type="dxa"/>
              <w:bottom w:w="100" w:type="dxa"/>
              <w:right w:w="100" w:type="dxa"/>
            </w:tcMar>
          </w:tcPr>
          <w:p w14:paraId="59D00B00"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PALS</w:t>
            </w:r>
          </w:p>
        </w:tc>
        <w:tc>
          <w:tcPr>
            <w:tcW w:w="1872" w:type="dxa"/>
            <w:shd w:val="clear" w:color="auto" w:fill="auto"/>
            <w:tcMar>
              <w:top w:w="100" w:type="dxa"/>
              <w:left w:w="100" w:type="dxa"/>
              <w:bottom w:w="100" w:type="dxa"/>
              <w:right w:w="100" w:type="dxa"/>
            </w:tcMar>
          </w:tcPr>
          <w:p w14:paraId="1D42EDAC"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72" w:type="dxa"/>
            <w:shd w:val="clear" w:color="auto" w:fill="auto"/>
            <w:tcMar>
              <w:top w:w="100" w:type="dxa"/>
              <w:left w:w="100" w:type="dxa"/>
              <w:bottom w:w="100" w:type="dxa"/>
              <w:right w:w="100" w:type="dxa"/>
            </w:tcMar>
          </w:tcPr>
          <w:p w14:paraId="2BA49DD4"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72" w:type="dxa"/>
            <w:shd w:val="clear" w:color="auto" w:fill="auto"/>
            <w:tcMar>
              <w:top w:w="100" w:type="dxa"/>
              <w:left w:w="100" w:type="dxa"/>
              <w:bottom w:w="100" w:type="dxa"/>
              <w:right w:w="100" w:type="dxa"/>
            </w:tcMar>
          </w:tcPr>
          <w:p w14:paraId="65478649"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222" w:type="dxa"/>
            <w:shd w:val="clear" w:color="auto" w:fill="auto"/>
            <w:tcMar>
              <w:top w:w="100" w:type="dxa"/>
              <w:left w:w="100" w:type="dxa"/>
              <w:bottom w:w="100" w:type="dxa"/>
              <w:right w:w="100" w:type="dxa"/>
            </w:tcMar>
          </w:tcPr>
          <w:p w14:paraId="03F7882C"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r>
      <w:tr w:rsidR="007F5B3F" w14:paraId="2FD9CB83" w14:textId="77777777" w:rsidTr="00297F23">
        <w:tc>
          <w:tcPr>
            <w:tcW w:w="1872" w:type="dxa"/>
            <w:shd w:val="clear" w:color="auto" w:fill="auto"/>
            <w:tcMar>
              <w:top w:w="100" w:type="dxa"/>
              <w:left w:w="100" w:type="dxa"/>
              <w:bottom w:w="100" w:type="dxa"/>
              <w:right w:w="100" w:type="dxa"/>
            </w:tcMar>
          </w:tcPr>
          <w:p w14:paraId="23AB400A"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SkillsUSA</w:t>
            </w:r>
          </w:p>
        </w:tc>
        <w:tc>
          <w:tcPr>
            <w:tcW w:w="1872" w:type="dxa"/>
            <w:shd w:val="clear" w:color="auto" w:fill="auto"/>
            <w:tcMar>
              <w:top w:w="100" w:type="dxa"/>
              <w:left w:w="100" w:type="dxa"/>
              <w:bottom w:w="100" w:type="dxa"/>
              <w:right w:w="100" w:type="dxa"/>
            </w:tcMar>
          </w:tcPr>
          <w:p w14:paraId="7BC4902D"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72" w:type="dxa"/>
            <w:shd w:val="clear" w:color="auto" w:fill="auto"/>
            <w:tcMar>
              <w:top w:w="100" w:type="dxa"/>
              <w:left w:w="100" w:type="dxa"/>
              <w:bottom w:w="100" w:type="dxa"/>
              <w:right w:w="100" w:type="dxa"/>
            </w:tcMar>
          </w:tcPr>
          <w:p w14:paraId="3EDC18AA"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72" w:type="dxa"/>
            <w:shd w:val="clear" w:color="auto" w:fill="auto"/>
            <w:tcMar>
              <w:top w:w="100" w:type="dxa"/>
              <w:left w:w="100" w:type="dxa"/>
              <w:bottom w:w="100" w:type="dxa"/>
              <w:right w:w="100" w:type="dxa"/>
            </w:tcMar>
          </w:tcPr>
          <w:p w14:paraId="1CAB1796"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222" w:type="dxa"/>
            <w:shd w:val="clear" w:color="auto" w:fill="auto"/>
            <w:tcMar>
              <w:top w:w="100" w:type="dxa"/>
              <w:left w:w="100" w:type="dxa"/>
              <w:bottom w:w="100" w:type="dxa"/>
              <w:right w:w="100" w:type="dxa"/>
            </w:tcMar>
          </w:tcPr>
          <w:p w14:paraId="6AB4A98F"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r>
      <w:tr w:rsidR="007F5B3F" w14:paraId="10A9A72C" w14:textId="77777777" w:rsidTr="00297F23">
        <w:tc>
          <w:tcPr>
            <w:tcW w:w="1872" w:type="dxa"/>
            <w:shd w:val="clear" w:color="auto" w:fill="auto"/>
            <w:tcMar>
              <w:top w:w="100" w:type="dxa"/>
              <w:left w:w="100" w:type="dxa"/>
              <w:bottom w:w="100" w:type="dxa"/>
              <w:right w:w="100" w:type="dxa"/>
            </w:tcMar>
          </w:tcPr>
          <w:p w14:paraId="51611E08"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TSA</w:t>
            </w:r>
          </w:p>
        </w:tc>
        <w:tc>
          <w:tcPr>
            <w:tcW w:w="1872" w:type="dxa"/>
            <w:shd w:val="clear" w:color="auto" w:fill="auto"/>
            <w:tcMar>
              <w:top w:w="100" w:type="dxa"/>
              <w:left w:w="100" w:type="dxa"/>
              <w:bottom w:w="100" w:type="dxa"/>
              <w:right w:w="100" w:type="dxa"/>
            </w:tcMar>
          </w:tcPr>
          <w:p w14:paraId="15C9F0A6"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72" w:type="dxa"/>
            <w:shd w:val="clear" w:color="auto" w:fill="auto"/>
            <w:tcMar>
              <w:top w:w="100" w:type="dxa"/>
              <w:left w:w="100" w:type="dxa"/>
              <w:bottom w:w="100" w:type="dxa"/>
              <w:right w:w="100" w:type="dxa"/>
            </w:tcMar>
          </w:tcPr>
          <w:p w14:paraId="7F21DEAD"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72" w:type="dxa"/>
            <w:shd w:val="clear" w:color="auto" w:fill="auto"/>
            <w:tcMar>
              <w:top w:w="100" w:type="dxa"/>
              <w:left w:w="100" w:type="dxa"/>
              <w:bottom w:w="100" w:type="dxa"/>
              <w:right w:w="100" w:type="dxa"/>
            </w:tcMar>
          </w:tcPr>
          <w:p w14:paraId="516892E6" w14:textId="77777777" w:rsidR="007F5B3F" w:rsidRDefault="00000000"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2222" w:type="dxa"/>
            <w:shd w:val="clear" w:color="auto" w:fill="auto"/>
            <w:tcMar>
              <w:top w:w="100" w:type="dxa"/>
              <w:left w:w="100" w:type="dxa"/>
              <w:bottom w:w="100" w:type="dxa"/>
              <w:right w:w="100" w:type="dxa"/>
            </w:tcMar>
          </w:tcPr>
          <w:p w14:paraId="33D86BBB" w14:textId="77777777" w:rsidR="007F5B3F" w:rsidRDefault="007F5B3F" w:rsidP="00297F2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r>
    </w:tbl>
    <w:p w14:paraId="400938C7" w14:textId="77777777" w:rsidR="007F5B3F" w:rsidRDefault="007F5B3F">
      <w:pPr>
        <w:rPr>
          <w:rFonts w:ascii="Times New Roman" w:eastAsia="Times New Roman" w:hAnsi="Times New Roman" w:cs="Times New Roman"/>
          <w:b/>
          <w:bCs/>
          <w:i/>
          <w:iCs/>
          <w:sz w:val="24"/>
          <w:szCs w:val="24"/>
        </w:rPr>
      </w:pPr>
    </w:p>
    <w:p w14:paraId="2A81B71D" w14:textId="78AED5EF" w:rsidR="007F5B3F"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Shared Emotional Connection</w:t>
      </w:r>
    </w:p>
    <w:p w14:paraId="4D5AA6C8" w14:textId="7C8A4A97" w:rsidR="007F5B3F" w:rsidRDefault="00000000">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contents of each organization’s website discussed the </w:t>
      </w:r>
      <w:proofErr w:type="gramStart"/>
      <w:r w:rsidR="00500239">
        <w:rPr>
          <w:rFonts w:ascii="Times New Roman" w:eastAsia="Times New Roman" w:hAnsi="Times New Roman" w:cs="Times New Roman"/>
          <w:sz w:val="24"/>
          <w:szCs w:val="24"/>
        </w:rPr>
        <w:t>numerous</w:t>
      </w:r>
      <w:proofErr w:type="gramEnd"/>
      <w:r w:rsidR="00500239">
        <w:rPr>
          <w:rFonts w:ascii="Times New Roman" w:eastAsia="Times New Roman" w:hAnsi="Times New Roman" w:cs="Times New Roman"/>
          <w:sz w:val="24"/>
          <w:szCs w:val="24"/>
        </w:rPr>
        <w:t xml:space="preserve"> ways</w:t>
      </w:r>
      <w:r>
        <w:rPr>
          <w:rFonts w:ascii="Times New Roman" w:eastAsia="Times New Roman" w:hAnsi="Times New Roman" w:cs="Times New Roman"/>
          <w:sz w:val="24"/>
          <w:szCs w:val="24"/>
        </w:rPr>
        <w:t xml:space="preserve"> that members can connect at the various levels of membership including local, state, national, and for some international activities. Additionally, </w:t>
      </w:r>
      <w:r w:rsidR="00500239">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the organizations provided some information about their history and founding details; however, not all organizations shared a detailed timeline and information about the history of their organization. </w:t>
      </w:r>
      <w:r w:rsidR="00500239">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the organizations offered competitions and professional development that would allow for connection between members. </w:t>
      </w:r>
      <w:r w:rsidR="00500239">
        <w:rPr>
          <w:rFonts w:ascii="Times New Roman" w:eastAsia="Times New Roman" w:hAnsi="Times New Roman" w:cs="Times New Roman"/>
          <w:sz w:val="24"/>
          <w:szCs w:val="24"/>
        </w:rPr>
        <w:t>Few</w:t>
      </w:r>
      <w:r>
        <w:rPr>
          <w:rFonts w:ascii="Times New Roman" w:eastAsia="Times New Roman" w:hAnsi="Times New Roman" w:cs="Times New Roman"/>
          <w:sz w:val="24"/>
          <w:szCs w:val="24"/>
        </w:rPr>
        <w:t xml:space="preserve"> of the organizations had ways for members to connect online through their website, but all of them provided contact information for more information about the organization. Success stories of members and chapters </w:t>
      </w:r>
      <w:proofErr w:type="gramStart"/>
      <w:r>
        <w:rPr>
          <w:rFonts w:ascii="Times New Roman" w:eastAsia="Times New Roman" w:hAnsi="Times New Roman" w:cs="Times New Roman"/>
          <w:sz w:val="24"/>
          <w:szCs w:val="24"/>
        </w:rPr>
        <w:t>were highlighted</w:t>
      </w:r>
      <w:proofErr w:type="gramEnd"/>
      <w:r>
        <w:rPr>
          <w:rFonts w:ascii="Times New Roman" w:eastAsia="Times New Roman" w:hAnsi="Times New Roman" w:cs="Times New Roman"/>
          <w:sz w:val="24"/>
          <w:szCs w:val="24"/>
        </w:rPr>
        <w:t xml:space="preserve"> on </w:t>
      </w:r>
      <w:r w:rsidR="00500239">
        <w:rPr>
          <w:rFonts w:ascii="Times New Roman" w:eastAsia="Times New Roman" w:hAnsi="Times New Roman" w:cs="Times New Roman"/>
          <w:sz w:val="24"/>
          <w:szCs w:val="24"/>
        </w:rPr>
        <w:t>all</w:t>
      </w:r>
      <w:r>
        <w:rPr>
          <w:rFonts w:ascii="Times New Roman" w:eastAsia="Times New Roman" w:hAnsi="Times New Roman" w:cs="Times New Roman"/>
          <w:sz w:val="24"/>
          <w:szCs w:val="24"/>
        </w:rPr>
        <w:t xml:space="preserve"> the websites, and some organizations provided information about results from competitions to highlight success. The table below summarizes the information about shared connections within each of the explored CTSOs.</w:t>
      </w:r>
    </w:p>
    <w:p w14:paraId="29BD18EE" w14:textId="77777777" w:rsidR="007F5B3F" w:rsidRDefault="007F5B3F">
      <w:pPr>
        <w:rPr>
          <w:rFonts w:ascii="Times New Roman" w:eastAsia="Times New Roman" w:hAnsi="Times New Roman" w:cs="Times New Roman"/>
          <w:b/>
          <w:bCs/>
          <w:sz w:val="24"/>
          <w:szCs w:val="24"/>
        </w:rPr>
      </w:pPr>
    </w:p>
    <w:p w14:paraId="567226DF" w14:textId="77777777" w:rsidR="007F5B3F" w:rsidRDefault="00000000">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Table 4</w:t>
      </w:r>
    </w:p>
    <w:p w14:paraId="744A0CA1" w14:textId="25712FA9" w:rsidR="007F5B3F" w:rsidRDefault="00000000">
      <w:pP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Summary </w:t>
      </w:r>
      <w:r w:rsidR="006A102E">
        <w:rPr>
          <w:rFonts w:ascii="Times New Roman" w:eastAsia="Times New Roman" w:hAnsi="Times New Roman" w:cs="Times New Roman"/>
          <w:b/>
          <w:bCs/>
          <w:i/>
          <w:iCs/>
          <w:sz w:val="24"/>
          <w:szCs w:val="24"/>
        </w:rPr>
        <w:t>of Shared</w:t>
      </w:r>
      <w:r>
        <w:rPr>
          <w:rFonts w:ascii="Times New Roman" w:eastAsia="Times New Roman" w:hAnsi="Times New Roman" w:cs="Times New Roman"/>
          <w:b/>
          <w:bCs/>
          <w:i/>
          <w:iCs/>
          <w:sz w:val="24"/>
          <w:szCs w:val="24"/>
        </w:rPr>
        <w:t xml:space="preserve"> Emotional </w:t>
      </w:r>
      <w:r w:rsidR="00297F23">
        <w:rPr>
          <w:rFonts w:ascii="Times New Roman" w:eastAsia="Times New Roman" w:hAnsi="Times New Roman" w:cs="Times New Roman"/>
          <w:b/>
          <w:bCs/>
          <w:i/>
          <w:iCs/>
          <w:sz w:val="24"/>
          <w:szCs w:val="24"/>
        </w:rPr>
        <w:t>Connection</w:t>
      </w:r>
      <w:r>
        <w:rPr>
          <w:rFonts w:ascii="Times New Roman" w:eastAsia="Times New Roman" w:hAnsi="Times New Roman" w:cs="Times New Roman"/>
          <w:b/>
          <w:bCs/>
          <w:i/>
          <w:iCs/>
          <w:sz w:val="24"/>
          <w:szCs w:val="24"/>
        </w:rPr>
        <w:t xml:space="preserve"> Contents of Websites</w:t>
      </w:r>
    </w:p>
    <w:tbl>
      <w:tblPr>
        <w:tblStyle w:val="a3"/>
        <w:tblW w:w="9800" w:type="dxa"/>
        <w:tblInd w:w="0" w:type="dxa"/>
        <w:tblBorders>
          <w:top w:val="single" w:sz="8" w:space="0" w:color="000000"/>
          <w:bottom w:val="single" w:sz="8" w:space="0" w:color="000000"/>
        </w:tblBorders>
        <w:tblLayout w:type="fixed"/>
        <w:tblLook w:val="0600" w:firstRow="0" w:lastRow="0" w:firstColumn="0" w:lastColumn="0" w:noHBand="1" w:noVBand="1"/>
      </w:tblPr>
      <w:tblGrid>
        <w:gridCol w:w="1560"/>
        <w:gridCol w:w="1560"/>
        <w:gridCol w:w="1560"/>
        <w:gridCol w:w="1880"/>
        <w:gridCol w:w="1530"/>
        <w:gridCol w:w="1710"/>
      </w:tblGrid>
      <w:tr w:rsidR="007F5B3F" w14:paraId="09263195" w14:textId="77777777" w:rsidTr="007F08C3">
        <w:tc>
          <w:tcPr>
            <w:tcW w:w="1560" w:type="dxa"/>
            <w:tcBorders>
              <w:top w:val="single" w:sz="8" w:space="0" w:color="000000"/>
              <w:bottom w:val="single" w:sz="4" w:space="0" w:color="auto"/>
            </w:tcBorders>
            <w:shd w:val="clear" w:color="auto" w:fill="auto"/>
            <w:tcMar>
              <w:top w:w="100" w:type="dxa"/>
              <w:left w:w="100" w:type="dxa"/>
              <w:bottom w:w="100" w:type="dxa"/>
              <w:right w:w="100" w:type="dxa"/>
            </w:tcMar>
          </w:tcPr>
          <w:p w14:paraId="57D3719A"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Organization</w:t>
            </w:r>
          </w:p>
        </w:tc>
        <w:tc>
          <w:tcPr>
            <w:tcW w:w="1560" w:type="dxa"/>
            <w:tcBorders>
              <w:top w:val="single" w:sz="8" w:space="0" w:color="000000"/>
              <w:bottom w:val="single" w:sz="4" w:space="0" w:color="auto"/>
            </w:tcBorders>
            <w:shd w:val="clear" w:color="auto" w:fill="auto"/>
            <w:tcMar>
              <w:top w:w="100" w:type="dxa"/>
              <w:left w:w="100" w:type="dxa"/>
              <w:bottom w:w="100" w:type="dxa"/>
              <w:right w:w="100" w:type="dxa"/>
            </w:tcMar>
          </w:tcPr>
          <w:p w14:paraId="65B9F730"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Allowed connection of members on the website</w:t>
            </w:r>
          </w:p>
        </w:tc>
        <w:tc>
          <w:tcPr>
            <w:tcW w:w="1560" w:type="dxa"/>
            <w:tcBorders>
              <w:top w:val="single" w:sz="8" w:space="0" w:color="000000"/>
              <w:bottom w:val="single" w:sz="4" w:space="0" w:color="auto"/>
            </w:tcBorders>
            <w:shd w:val="clear" w:color="auto" w:fill="auto"/>
            <w:tcMar>
              <w:top w:w="100" w:type="dxa"/>
              <w:left w:w="100" w:type="dxa"/>
              <w:bottom w:w="100" w:type="dxa"/>
              <w:right w:w="100" w:type="dxa"/>
            </w:tcMar>
          </w:tcPr>
          <w:p w14:paraId="2A4CC8E7"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History and Information about Founding</w:t>
            </w:r>
          </w:p>
        </w:tc>
        <w:tc>
          <w:tcPr>
            <w:tcW w:w="1880" w:type="dxa"/>
            <w:tcBorders>
              <w:top w:val="single" w:sz="8" w:space="0" w:color="000000"/>
              <w:bottom w:val="single" w:sz="4" w:space="0" w:color="auto"/>
            </w:tcBorders>
            <w:shd w:val="clear" w:color="auto" w:fill="auto"/>
            <w:tcMar>
              <w:top w:w="100" w:type="dxa"/>
              <w:left w:w="100" w:type="dxa"/>
              <w:bottom w:w="100" w:type="dxa"/>
              <w:right w:w="100" w:type="dxa"/>
            </w:tcMar>
          </w:tcPr>
          <w:p w14:paraId="5EC3FEF0"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Information about Competitions and Professional Development Activity</w:t>
            </w:r>
          </w:p>
        </w:tc>
        <w:tc>
          <w:tcPr>
            <w:tcW w:w="1530" w:type="dxa"/>
            <w:tcBorders>
              <w:top w:val="single" w:sz="8" w:space="0" w:color="000000"/>
              <w:bottom w:val="single" w:sz="4" w:space="0" w:color="auto"/>
            </w:tcBorders>
            <w:shd w:val="clear" w:color="auto" w:fill="auto"/>
            <w:tcMar>
              <w:top w:w="100" w:type="dxa"/>
              <w:left w:w="100" w:type="dxa"/>
              <w:bottom w:w="100" w:type="dxa"/>
              <w:right w:w="100" w:type="dxa"/>
            </w:tcMar>
          </w:tcPr>
          <w:p w14:paraId="20181FCC"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Success Stories of Members and Chapters</w:t>
            </w:r>
          </w:p>
        </w:tc>
        <w:tc>
          <w:tcPr>
            <w:tcW w:w="1710" w:type="dxa"/>
            <w:tcBorders>
              <w:top w:val="single" w:sz="8" w:space="0" w:color="000000"/>
              <w:bottom w:val="single" w:sz="4" w:space="0" w:color="auto"/>
            </w:tcBorders>
            <w:shd w:val="clear" w:color="auto" w:fill="auto"/>
            <w:tcMar>
              <w:top w:w="100" w:type="dxa"/>
              <w:left w:w="100" w:type="dxa"/>
              <w:bottom w:w="100" w:type="dxa"/>
              <w:right w:w="100" w:type="dxa"/>
            </w:tcMar>
          </w:tcPr>
          <w:p w14:paraId="58888A15"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Competition Results</w:t>
            </w:r>
          </w:p>
        </w:tc>
      </w:tr>
      <w:tr w:rsidR="007F5B3F" w14:paraId="5C8F2EB7" w14:textId="77777777" w:rsidTr="007F08C3">
        <w:tc>
          <w:tcPr>
            <w:tcW w:w="1560" w:type="dxa"/>
            <w:tcBorders>
              <w:top w:val="single" w:sz="4" w:space="0" w:color="auto"/>
            </w:tcBorders>
            <w:shd w:val="clear" w:color="auto" w:fill="auto"/>
            <w:tcMar>
              <w:top w:w="100" w:type="dxa"/>
              <w:left w:w="100" w:type="dxa"/>
              <w:bottom w:w="100" w:type="dxa"/>
              <w:right w:w="100" w:type="dxa"/>
            </w:tcMar>
          </w:tcPr>
          <w:p w14:paraId="1948CE77"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BPA</w:t>
            </w:r>
          </w:p>
        </w:tc>
        <w:tc>
          <w:tcPr>
            <w:tcW w:w="1560" w:type="dxa"/>
            <w:tcBorders>
              <w:top w:val="single" w:sz="4" w:space="0" w:color="auto"/>
            </w:tcBorders>
            <w:shd w:val="clear" w:color="auto" w:fill="auto"/>
            <w:tcMar>
              <w:top w:w="100" w:type="dxa"/>
              <w:left w:w="100" w:type="dxa"/>
              <w:bottom w:w="100" w:type="dxa"/>
              <w:right w:w="100" w:type="dxa"/>
            </w:tcMar>
          </w:tcPr>
          <w:p w14:paraId="19255A96" w14:textId="77777777" w:rsidR="007F5B3F" w:rsidRDefault="007F5B3F"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560" w:type="dxa"/>
            <w:tcBorders>
              <w:top w:val="single" w:sz="4" w:space="0" w:color="auto"/>
            </w:tcBorders>
            <w:shd w:val="clear" w:color="auto" w:fill="auto"/>
            <w:tcMar>
              <w:top w:w="100" w:type="dxa"/>
              <w:left w:w="100" w:type="dxa"/>
              <w:bottom w:w="100" w:type="dxa"/>
              <w:right w:w="100" w:type="dxa"/>
            </w:tcMar>
          </w:tcPr>
          <w:p w14:paraId="4910FE8A"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80" w:type="dxa"/>
            <w:tcBorders>
              <w:top w:val="single" w:sz="4" w:space="0" w:color="auto"/>
            </w:tcBorders>
            <w:shd w:val="clear" w:color="auto" w:fill="auto"/>
            <w:tcMar>
              <w:top w:w="100" w:type="dxa"/>
              <w:left w:w="100" w:type="dxa"/>
              <w:bottom w:w="100" w:type="dxa"/>
              <w:right w:w="100" w:type="dxa"/>
            </w:tcMar>
          </w:tcPr>
          <w:p w14:paraId="2C01CA01"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530" w:type="dxa"/>
            <w:tcBorders>
              <w:top w:val="single" w:sz="4" w:space="0" w:color="auto"/>
            </w:tcBorders>
            <w:shd w:val="clear" w:color="auto" w:fill="auto"/>
            <w:tcMar>
              <w:top w:w="100" w:type="dxa"/>
              <w:left w:w="100" w:type="dxa"/>
              <w:bottom w:w="100" w:type="dxa"/>
              <w:right w:w="100" w:type="dxa"/>
            </w:tcMar>
          </w:tcPr>
          <w:p w14:paraId="5BAF41FB"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710" w:type="dxa"/>
            <w:tcBorders>
              <w:top w:val="single" w:sz="4" w:space="0" w:color="auto"/>
            </w:tcBorders>
            <w:shd w:val="clear" w:color="auto" w:fill="auto"/>
            <w:tcMar>
              <w:top w:w="100" w:type="dxa"/>
              <w:left w:w="100" w:type="dxa"/>
              <w:bottom w:w="100" w:type="dxa"/>
              <w:right w:w="100" w:type="dxa"/>
            </w:tcMar>
          </w:tcPr>
          <w:p w14:paraId="6D832E2C" w14:textId="77777777" w:rsidR="007F5B3F" w:rsidRDefault="007F5B3F"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r>
      <w:tr w:rsidR="007F5B3F" w14:paraId="55712288" w14:textId="77777777" w:rsidTr="00297F23">
        <w:tc>
          <w:tcPr>
            <w:tcW w:w="1560" w:type="dxa"/>
            <w:shd w:val="clear" w:color="auto" w:fill="auto"/>
            <w:tcMar>
              <w:top w:w="100" w:type="dxa"/>
              <w:left w:w="100" w:type="dxa"/>
              <w:bottom w:w="100" w:type="dxa"/>
              <w:right w:w="100" w:type="dxa"/>
            </w:tcMar>
          </w:tcPr>
          <w:p w14:paraId="7C000F7F"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DECA</w:t>
            </w:r>
          </w:p>
        </w:tc>
        <w:tc>
          <w:tcPr>
            <w:tcW w:w="1560" w:type="dxa"/>
            <w:shd w:val="clear" w:color="auto" w:fill="auto"/>
            <w:tcMar>
              <w:top w:w="100" w:type="dxa"/>
              <w:left w:w="100" w:type="dxa"/>
              <w:bottom w:w="100" w:type="dxa"/>
              <w:right w:w="100" w:type="dxa"/>
            </w:tcMar>
          </w:tcPr>
          <w:p w14:paraId="295F865B" w14:textId="77777777" w:rsidR="007F5B3F" w:rsidRDefault="007F5B3F"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560" w:type="dxa"/>
            <w:shd w:val="clear" w:color="auto" w:fill="auto"/>
            <w:tcMar>
              <w:top w:w="100" w:type="dxa"/>
              <w:left w:w="100" w:type="dxa"/>
              <w:bottom w:w="100" w:type="dxa"/>
              <w:right w:w="100" w:type="dxa"/>
            </w:tcMar>
          </w:tcPr>
          <w:p w14:paraId="50B2176A"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80" w:type="dxa"/>
            <w:shd w:val="clear" w:color="auto" w:fill="auto"/>
            <w:tcMar>
              <w:top w:w="100" w:type="dxa"/>
              <w:left w:w="100" w:type="dxa"/>
              <w:bottom w:w="100" w:type="dxa"/>
              <w:right w:w="100" w:type="dxa"/>
            </w:tcMar>
          </w:tcPr>
          <w:p w14:paraId="5B392CDA"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530" w:type="dxa"/>
            <w:shd w:val="clear" w:color="auto" w:fill="auto"/>
            <w:tcMar>
              <w:top w:w="100" w:type="dxa"/>
              <w:left w:w="100" w:type="dxa"/>
              <w:bottom w:w="100" w:type="dxa"/>
              <w:right w:w="100" w:type="dxa"/>
            </w:tcMar>
          </w:tcPr>
          <w:p w14:paraId="3B7A7DE3"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710" w:type="dxa"/>
            <w:shd w:val="clear" w:color="auto" w:fill="auto"/>
            <w:tcMar>
              <w:top w:w="100" w:type="dxa"/>
              <w:left w:w="100" w:type="dxa"/>
              <w:bottom w:w="100" w:type="dxa"/>
              <w:right w:w="100" w:type="dxa"/>
            </w:tcMar>
          </w:tcPr>
          <w:p w14:paraId="653C4D5F" w14:textId="77777777" w:rsidR="007F5B3F" w:rsidRDefault="007F5B3F"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r>
      <w:tr w:rsidR="007F5B3F" w14:paraId="6EFA359E" w14:textId="77777777" w:rsidTr="00297F23">
        <w:tc>
          <w:tcPr>
            <w:tcW w:w="1560" w:type="dxa"/>
            <w:shd w:val="clear" w:color="auto" w:fill="auto"/>
            <w:tcMar>
              <w:top w:w="100" w:type="dxa"/>
              <w:left w:w="100" w:type="dxa"/>
              <w:bottom w:w="100" w:type="dxa"/>
              <w:right w:w="100" w:type="dxa"/>
            </w:tcMar>
          </w:tcPr>
          <w:p w14:paraId="7046A042"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FBLA</w:t>
            </w:r>
          </w:p>
        </w:tc>
        <w:tc>
          <w:tcPr>
            <w:tcW w:w="1560" w:type="dxa"/>
            <w:shd w:val="clear" w:color="auto" w:fill="auto"/>
            <w:tcMar>
              <w:top w:w="100" w:type="dxa"/>
              <w:left w:w="100" w:type="dxa"/>
              <w:bottom w:w="100" w:type="dxa"/>
              <w:right w:w="100" w:type="dxa"/>
            </w:tcMar>
          </w:tcPr>
          <w:p w14:paraId="607EF08C"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560" w:type="dxa"/>
            <w:shd w:val="clear" w:color="auto" w:fill="auto"/>
            <w:tcMar>
              <w:top w:w="100" w:type="dxa"/>
              <w:left w:w="100" w:type="dxa"/>
              <w:bottom w:w="100" w:type="dxa"/>
              <w:right w:w="100" w:type="dxa"/>
            </w:tcMar>
          </w:tcPr>
          <w:p w14:paraId="00DF0C58"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80" w:type="dxa"/>
            <w:shd w:val="clear" w:color="auto" w:fill="auto"/>
            <w:tcMar>
              <w:top w:w="100" w:type="dxa"/>
              <w:left w:w="100" w:type="dxa"/>
              <w:bottom w:w="100" w:type="dxa"/>
              <w:right w:w="100" w:type="dxa"/>
            </w:tcMar>
          </w:tcPr>
          <w:p w14:paraId="07E94B83"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530" w:type="dxa"/>
            <w:shd w:val="clear" w:color="auto" w:fill="auto"/>
            <w:tcMar>
              <w:top w:w="100" w:type="dxa"/>
              <w:left w:w="100" w:type="dxa"/>
              <w:bottom w:w="100" w:type="dxa"/>
              <w:right w:w="100" w:type="dxa"/>
            </w:tcMar>
          </w:tcPr>
          <w:p w14:paraId="1C029545"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710" w:type="dxa"/>
            <w:shd w:val="clear" w:color="auto" w:fill="auto"/>
            <w:tcMar>
              <w:top w:w="100" w:type="dxa"/>
              <w:left w:w="100" w:type="dxa"/>
              <w:bottom w:w="100" w:type="dxa"/>
              <w:right w:w="100" w:type="dxa"/>
            </w:tcMar>
          </w:tcPr>
          <w:p w14:paraId="2A252B48" w14:textId="77777777" w:rsidR="007F5B3F" w:rsidRDefault="007F5B3F"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r>
      <w:tr w:rsidR="007F5B3F" w14:paraId="13696C15" w14:textId="77777777" w:rsidTr="00297F23">
        <w:tc>
          <w:tcPr>
            <w:tcW w:w="1560" w:type="dxa"/>
            <w:shd w:val="clear" w:color="auto" w:fill="auto"/>
            <w:tcMar>
              <w:top w:w="100" w:type="dxa"/>
              <w:left w:w="100" w:type="dxa"/>
              <w:bottom w:w="100" w:type="dxa"/>
              <w:right w:w="100" w:type="dxa"/>
            </w:tcMar>
          </w:tcPr>
          <w:p w14:paraId="0FE7E966"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FFA</w:t>
            </w:r>
          </w:p>
        </w:tc>
        <w:tc>
          <w:tcPr>
            <w:tcW w:w="1560" w:type="dxa"/>
            <w:shd w:val="clear" w:color="auto" w:fill="auto"/>
            <w:tcMar>
              <w:top w:w="100" w:type="dxa"/>
              <w:left w:w="100" w:type="dxa"/>
              <w:bottom w:w="100" w:type="dxa"/>
              <w:right w:w="100" w:type="dxa"/>
            </w:tcMar>
          </w:tcPr>
          <w:p w14:paraId="4EF194A4" w14:textId="77777777" w:rsidR="007F5B3F" w:rsidRDefault="007F5B3F"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560" w:type="dxa"/>
            <w:shd w:val="clear" w:color="auto" w:fill="auto"/>
            <w:tcMar>
              <w:top w:w="100" w:type="dxa"/>
              <w:left w:w="100" w:type="dxa"/>
              <w:bottom w:w="100" w:type="dxa"/>
              <w:right w:w="100" w:type="dxa"/>
            </w:tcMar>
          </w:tcPr>
          <w:p w14:paraId="24E04653"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80" w:type="dxa"/>
            <w:shd w:val="clear" w:color="auto" w:fill="auto"/>
            <w:tcMar>
              <w:top w:w="100" w:type="dxa"/>
              <w:left w:w="100" w:type="dxa"/>
              <w:bottom w:w="100" w:type="dxa"/>
              <w:right w:w="100" w:type="dxa"/>
            </w:tcMar>
          </w:tcPr>
          <w:p w14:paraId="4AF6A376"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530" w:type="dxa"/>
            <w:shd w:val="clear" w:color="auto" w:fill="auto"/>
            <w:tcMar>
              <w:top w:w="100" w:type="dxa"/>
              <w:left w:w="100" w:type="dxa"/>
              <w:bottom w:w="100" w:type="dxa"/>
              <w:right w:w="100" w:type="dxa"/>
            </w:tcMar>
          </w:tcPr>
          <w:p w14:paraId="72E9C061"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710" w:type="dxa"/>
            <w:shd w:val="clear" w:color="auto" w:fill="auto"/>
            <w:tcMar>
              <w:top w:w="100" w:type="dxa"/>
              <w:left w:w="100" w:type="dxa"/>
              <w:bottom w:w="100" w:type="dxa"/>
              <w:right w:w="100" w:type="dxa"/>
            </w:tcMar>
          </w:tcPr>
          <w:p w14:paraId="0C863344"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r>
      <w:tr w:rsidR="007F5B3F" w14:paraId="736B04FF" w14:textId="77777777" w:rsidTr="00297F23">
        <w:tc>
          <w:tcPr>
            <w:tcW w:w="1560" w:type="dxa"/>
            <w:shd w:val="clear" w:color="auto" w:fill="auto"/>
            <w:tcMar>
              <w:top w:w="100" w:type="dxa"/>
              <w:left w:w="100" w:type="dxa"/>
              <w:bottom w:w="100" w:type="dxa"/>
              <w:right w:w="100" w:type="dxa"/>
            </w:tcMar>
          </w:tcPr>
          <w:p w14:paraId="4E6413D5"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HOSA</w:t>
            </w:r>
          </w:p>
        </w:tc>
        <w:tc>
          <w:tcPr>
            <w:tcW w:w="1560" w:type="dxa"/>
            <w:shd w:val="clear" w:color="auto" w:fill="auto"/>
            <w:tcMar>
              <w:top w:w="100" w:type="dxa"/>
              <w:left w:w="100" w:type="dxa"/>
              <w:bottom w:w="100" w:type="dxa"/>
              <w:right w:w="100" w:type="dxa"/>
            </w:tcMar>
          </w:tcPr>
          <w:p w14:paraId="7059A0AD" w14:textId="77777777" w:rsidR="007F5B3F" w:rsidRDefault="007F5B3F"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560" w:type="dxa"/>
            <w:shd w:val="clear" w:color="auto" w:fill="auto"/>
            <w:tcMar>
              <w:top w:w="100" w:type="dxa"/>
              <w:left w:w="100" w:type="dxa"/>
              <w:bottom w:w="100" w:type="dxa"/>
              <w:right w:w="100" w:type="dxa"/>
            </w:tcMar>
          </w:tcPr>
          <w:p w14:paraId="397605EF"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80" w:type="dxa"/>
            <w:shd w:val="clear" w:color="auto" w:fill="auto"/>
            <w:tcMar>
              <w:top w:w="100" w:type="dxa"/>
              <w:left w:w="100" w:type="dxa"/>
              <w:bottom w:w="100" w:type="dxa"/>
              <w:right w:w="100" w:type="dxa"/>
            </w:tcMar>
          </w:tcPr>
          <w:p w14:paraId="7FCE69AD"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530" w:type="dxa"/>
            <w:shd w:val="clear" w:color="auto" w:fill="auto"/>
            <w:tcMar>
              <w:top w:w="100" w:type="dxa"/>
              <w:left w:w="100" w:type="dxa"/>
              <w:bottom w:w="100" w:type="dxa"/>
              <w:right w:w="100" w:type="dxa"/>
            </w:tcMar>
          </w:tcPr>
          <w:p w14:paraId="2CB91978"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710" w:type="dxa"/>
            <w:shd w:val="clear" w:color="auto" w:fill="auto"/>
            <w:tcMar>
              <w:top w:w="100" w:type="dxa"/>
              <w:left w:w="100" w:type="dxa"/>
              <w:bottom w:w="100" w:type="dxa"/>
              <w:right w:w="100" w:type="dxa"/>
            </w:tcMar>
          </w:tcPr>
          <w:p w14:paraId="5412E1BD"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r>
      <w:tr w:rsidR="007F5B3F" w14:paraId="7A43D5F5" w14:textId="77777777" w:rsidTr="00297F23">
        <w:tc>
          <w:tcPr>
            <w:tcW w:w="1560" w:type="dxa"/>
            <w:shd w:val="clear" w:color="auto" w:fill="auto"/>
            <w:tcMar>
              <w:top w:w="100" w:type="dxa"/>
              <w:left w:w="100" w:type="dxa"/>
              <w:bottom w:w="100" w:type="dxa"/>
              <w:right w:w="100" w:type="dxa"/>
            </w:tcMar>
          </w:tcPr>
          <w:p w14:paraId="6BAB95B5"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PAS</w:t>
            </w:r>
          </w:p>
        </w:tc>
        <w:tc>
          <w:tcPr>
            <w:tcW w:w="1560" w:type="dxa"/>
            <w:shd w:val="clear" w:color="auto" w:fill="auto"/>
            <w:tcMar>
              <w:top w:w="100" w:type="dxa"/>
              <w:left w:w="100" w:type="dxa"/>
              <w:bottom w:w="100" w:type="dxa"/>
              <w:right w:w="100" w:type="dxa"/>
            </w:tcMar>
          </w:tcPr>
          <w:p w14:paraId="309B3053" w14:textId="77777777" w:rsidR="007F5B3F" w:rsidRDefault="007F5B3F"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560" w:type="dxa"/>
            <w:shd w:val="clear" w:color="auto" w:fill="auto"/>
            <w:tcMar>
              <w:top w:w="100" w:type="dxa"/>
              <w:left w:w="100" w:type="dxa"/>
              <w:bottom w:w="100" w:type="dxa"/>
              <w:right w:w="100" w:type="dxa"/>
            </w:tcMar>
          </w:tcPr>
          <w:p w14:paraId="4C99A576"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80" w:type="dxa"/>
            <w:shd w:val="clear" w:color="auto" w:fill="auto"/>
            <w:tcMar>
              <w:top w:w="100" w:type="dxa"/>
              <w:left w:w="100" w:type="dxa"/>
              <w:bottom w:w="100" w:type="dxa"/>
              <w:right w:w="100" w:type="dxa"/>
            </w:tcMar>
          </w:tcPr>
          <w:p w14:paraId="3D6D7A62"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530" w:type="dxa"/>
            <w:shd w:val="clear" w:color="auto" w:fill="auto"/>
            <w:tcMar>
              <w:top w:w="100" w:type="dxa"/>
              <w:left w:w="100" w:type="dxa"/>
              <w:bottom w:w="100" w:type="dxa"/>
              <w:right w:w="100" w:type="dxa"/>
            </w:tcMar>
          </w:tcPr>
          <w:p w14:paraId="2BFCC543"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710" w:type="dxa"/>
            <w:shd w:val="clear" w:color="auto" w:fill="auto"/>
            <w:tcMar>
              <w:top w:w="100" w:type="dxa"/>
              <w:left w:w="100" w:type="dxa"/>
              <w:bottom w:w="100" w:type="dxa"/>
              <w:right w:w="100" w:type="dxa"/>
            </w:tcMar>
          </w:tcPr>
          <w:p w14:paraId="1B287601" w14:textId="77777777" w:rsidR="007F5B3F" w:rsidRDefault="007F5B3F"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r>
      <w:tr w:rsidR="007F5B3F" w14:paraId="00572622" w14:textId="77777777" w:rsidTr="00297F23">
        <w:tc>
          <w:tcPr>
            <w:tcW w:w="1560" w:type="dxa"/>
            <w:shd w:val="clear" w:color="auto" w:fill="auto"/>
            <w:tcMar>
              <w:top w:w="100" w:type="dxa"/>
              <w:left w:w="100" w:type="dxa"/>
              <w:bottom w:w="100" w:type="dxa"/>
              <w:right w:w="100" w:type="dxa"/>
            </w:tcMar>
          </w:tcPr>
          <w:p w14:paraId="177410CB"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SkillsUSA</w:t>
            </w:r>
          </w:p>
        </w:tc>
        <w:tc>
          <w:tcPr>
            <w:tcW w:w="1560" w:type="dxa"/>
            <w:shd w:val="clear" w:color="auto" w:fill="auto"/>
            <w:tcMar>
              <w:top w:w="100" w:type="dxa"/>
              <w:left w:w="100" w:type="dxa"/>
              <w:bottom w:w="100" w:type="dxa"/>
              <w:right w:w="100" w:type="dxa"/>
            </w:tcMar>
          </w:tcPr>
          <w:p w14:paraId="5AB4E7BA" w14:textId="77777777" w:rsidR="007F5B3F" w:rsidRDefault="007F5B3F"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560" w:type="dxa"/>
            <w:shd w:val="clear" w:color="auto" w:fill="auto"/>
            <w:tcMar>
              <w:top w:w="100" w:type="dxa"/>
              <w:left w:w="100" w:type="dxa"/>
              <w:bottom w:w="100" w:type="dxa"/>
              <w:right w:w="100" w:type="dxa"/>
            </w:tcMar>
          </w:tcPr>
          <w:p w14:paraId="692ABC4F"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880" w:type="dxa"/>
            <w:shd w:val="clear" w:color="auto" w:fill="auto"/>
            <w:tcMar>
              <w:top w:w="100" w:type="dxa"/>
              <w:left w:w="100" w:type="dxa"/>
              <w:bottom w:w="100" w:type="dxa"/>
              <w:right w:w="100" w:type="dxa"/>
            </w:tcMar>
          </w:tcPr>
          <w:p w14:paraId="27871890"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530" w:type="dxa"/>
            <w:shd w:val="clear" w:color="auto" w:fill="auto"/>
            <w:tcMar>
              <w:top w:w="100" w:type="dxa"/>
              <w:left w:w="100" w:type="dxa"/>
              <w:bottom w:w="100" w:type="dxa"/>
              <w:right w:w="100" w:type="dxa"/>
            </w:tcMar>
          </w:tcPr>
          <w:p w14:paraId="04C61B71"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710" w:type="dxa"/>
            <w:shd w:val="clear" w:color="auto" w:fill="auto"/>
            <w:tcMar>
              <w:top w:w="100" w:type="dxa"/>
              <w:left w:w="100" w:type="dxa"/>
              <w:bottom w:w="100" w:type="dxa"/>
              <w:right w:w="100" w:type="dxa"/>
            </w:tcMar>
          </w:tcPr>
          <w:p w14:paraId="3F176A55" w14:textId="77777777" w:rsidR="007F5B3F" w:rsidRDefault="007F5B3F"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r>
      <w:tr w:rsidR="007F5B3F" w14:paraId="0A4D6C96" w14:textId="77777777" w:rsidTr="00297F23">
        <w:tc>
          <w:tcPr>
            <w:tcW w:w="1560" w:type="dxa"/>
            <w:shd w:val="clear" w:color="auto" w:fill="auto"/>
            <w:tcMar>
              <w:top w:w="100" w:type="dxa"/>
              <w:left w:w="100" w:type="dxa"/>
              <w:bottom w:w="100" w:type="dxa"/>
              <w:right w:w="100" w:type="dxa"/>
            </w:tcMar>
          </w:tcPr>
          <w:p w14:paraId="2A5EA55E"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TSA</w:t>
            </w:r>
          </w:p>
        </w:tc>
        <w:tc>
          <w:tcPr>
            <w:tcW w:w="1560" w:type="dxa"/>
            <w:shd w:val="clear" w:color="auto" w:fill="auto"/>
            <w:tcMar>
              <w:top w:w="100" w:type="dxa"/>
              <w:left w:w="100" w:type="dxa"/>
              <w:bottom w:w="100" w:type="dxa"/>
              <w:right w:w="100" w:type="dxa"/>
            </w:tcMar>
          </w:tcPr>
          <w:p w14:paraId="0BFAD7C7"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560" w:type="dxa"/>
            <w:shd w:val="clear" w:color="auto" w:fill="auto"/>
            <w:tcMar>
              <w:top w:w="100" w:type="dxa"/>
              <w:left w:w="100" w:type="dxa"/>
              <w:bottom w:w="100" w:type="dxa"/>
              <w:right w:w="100" w:type="dxa"/>
            </w:tcMar>
          </w:tcPr>
          <w:p w14:paraId="313499E0" w14:textId="77777777" w:rsidR="007F5B3F" w:rsidRDefault="007F5B3F"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c>
          <w:tcPr>
            <w:tcW w:w="1880" w:type="dxa"/>
            <w:shd w:val="clear" w:color="auto" w:fill="auto"/>
            <w:tcMar>
              <w:top w:w="100" w:type="dxa"/>
              <w:left w:w="100" w:type="dxa"/>
              <w:bottom w:w="100" w:type="dxa"/>
              <w:right w:w="100" w:type="dxa"/>
            </w:tcMar>
          </w:tcPr>
          <w:p w14:paraId="4A000323"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530" w:type="dxa"/>
            <w:shd w:val="clear" w:color="auto" w:fill="auto"/>
            <w:tcMar>
              <w:top w:w="100" w:type="dxa"/>
              <w:left w:w="100" w:type="dxa"/>
              <w:bottom w:w="100" w:type="dxa"/>
              <w:right w:w="100" w:type="dxa"/>
            </w:tcMar>
          </w:tcPr>
          <w:p w14:paraId="7D852A9B" w14:textId="77777777" w:rsidR="007F5B3F" w:rsidRDefault="00000000"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x</w:t>
            </w:r>
          </w:p>
        </w:tc>
        <w:tc>
          <w:tcPr>
            <w:tcW w:w="1710" w:type="dxa"/>
            <w:shd w:val="clear" w:color="auto" w:fill="auto"/>
            <w:tcMar>
              <w:top w:w="100" w:type="dxa"/>
              <w:left w:w="100" w:type="dxa"/>
              <w:bottom w:w="100" w:type="dxa"/>
              <w:right w:w="100" w:type="dxa"/>
            </w:tcMar>
          </w:tcPr>
          <w:p w14:paraId="78C074CA" w14:textId="77777777" w:rsidR="007F5B3F" w:rsidRDefault="007F5B3F" w:rsidP="007F08C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rPr>
            </w:pPr>
          </w:p>
        </w:tc>
      </w:tr>
    </w:tbl>
    <w:p w14:paraId="037D9D26" w14:textId="77777777" w:rsidR="007F5B3F" w:rsidRDefault="007F5B3F">
      <w:pPr>
        <w:rPr>
          <w:rFonts w:ascii="Times New Roman" w:eastAsia="Times New Roman" w:hAnsi="Times New Roman" w:cs="Times New Roman"/>
          <w:sz w:val="24"/>
          <w:szCs w:val="24"/>
        </w:rPr>
      </w:pPr>
    </w:p>
    <w:p w14:paraId="05026D89" w14:textId="77777777" w:rsidR="007F5B3F" w:rsidRDefault="00000000">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Conclusions</w:t>
      </w:r>
    </w:p>
    <w:p w14:paraId="304FD385" w14:textId="77777777" w:rsidR="007F08C3" w:rsidRDefault="007F08C3">
      <w:pPr>
        <w:jc w:val="center"/>
        <w:rPr>
          <w:rFonts w:ascii="Times New Roman" w:eastAsia="Times New Roman" w:hAnsi="Times New Roman" w:cs="Times New Roman"/>
          <w:b/>
          <w:bCs/>
          <w:sz w:val="24"/>
          <w:szCs w:val="24"/>
        </w:rPr>
      </w:pPr>
    </w:p>
    <w:p w14:paraId="587C00FA" w14:textId="007A5ABD" w:rsidR="00AE2A5B" w:rsidRDefault="00000000" w:rsidP="00AE2A5B">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ab/>
      </w:r>
      <w:r w:rsidR="00AE2A5B" w:rsidRPr="00AE2A5B">
        <w:rPr>
          <w:rFonts w:ascii="Times New Roman" w:eastAsia="Times New Roman" w:hAnsi="Times New Roman" w:cs="Times New Roman"/>
          <w:sz w:val="24"/>
          <w:szCs w:val="24"/>
          <w:lang w:val="en-US"/>
        </w:rPr>
        <w:t xml:space="preserve">The analysis of CTSO websites revealed that all four tenets of the </w:t>
      </w:r>
      <w:r w:rsidR="00AE2A5B">
        <w:rPr>
          <w:rFonts w:ascii="Times New Roman" w:eastAsia="Times New Roman" w:hAnsi="Times New Roman" w:cs="Times New Roman"/>
          <w:sz w:val="24"/>
          <w:szCs w:val="24"/>
          <w:lang w:val="en-US"/>
        </w:rPr>
        <w:t>SoC</w:t>
      </w:r>
      <w:r w:rsidR="00AE2A5B" w:rsidRPr="00AE2A5B">
        <w:rPr>
          <w:rFonts w:ascii="Times New Roman" w:eastAsia="Times New Roman" w:hAnsi="Times New Roman" w:cs="Times New Roman"/>
          <w:sz w:val="24"/>
          <w:szCs w:val="24"/>
          <w:lang w:val="en-US"/>
        </w:rPr>
        <w:t xml:space="preserve"> Theory</w:t>
      </w:r>
      <w:r w:rsidR="00AE2A5B">
        <w:rPr>
          <w:rFonts w:ascii="Times New Roman" w:eastAsia="Times New Roman" w:hAnsi="Times New Roman" w:cs="Times New Roman"/>
          <w:sz w:val="24"/>
          <w:szCs w:val="24"/>
          <w:lang w:val="en-US"/>
        </w:rPr>
        <w:t xml:space="preserve">, </w:t>
      </w:r>
      <w:r w:rsidR="00AE2A5B" w:rsidRPr="00AE2A5B">
        <w:rPr>
          <w:rFonts w:ascii="Times New Roman" w:eastAsia="Times New Roman" w:hAnsi="Times New Roman" w:cs="Times New Roman"/>
          <w:sz w:val="24"/>
          <w:szCs w:val="24"/>
          <w:lang w:val="en-US"/>
        </w:rPr>
        <w:t xml:space="preserve">membership, influence, </w:t>
      </w:r>
      <w:proofErr w:type="gramStart"/>
      <w:r w:rsidR="00AE2A5B" w:rsidRPr="00AE2A5B">
        <w:rPr>
          <w:rFonts w:ascii="Times New Roman" w:eastAsia="Times New Roman" w:hAnsi="Times New Roman" w:cs="Times New Roman"/>
          <w:sz w:val="24"/>
          <w:szCs w:val="24"/>
          <w:lang w:val="en-US"/>
        </w:rPr>
        <w:t>integration</w:t>
      </w:r>
      <w:proofErr w:type="gramEnd"/>
      <w:r w:rsidR="00AE2A5B">
        <w:rPr>
          <w:rFonts w:ascii="Times New Roman" w:eastAsia="Times New Roman" w:hAnsi="Times New Roman" w:cs="Times New Roman"/>
          <w:sz w:val="24"/>
          <w:szCs w:val="24"/>
          <w:lang w:val="en-US"/>
        </w:rPr>
        <w:t xml:space="preserve"> </w:t>
      </w:r>
      <w:r w:rsidR="00AE2A5B" w:rsidRPr="00AE2A5B">
        <w:rPr>
          <w:rFonts w:ascii="Times New Roman" w:eastAsia="Times New Roman" w:hAnsi="Times New Roman" w:cs="Times New Roman"/>
          <w:sz w:val="24"/>
          <w:szCs w:val="24"/>
          <w:lang w:val="en-US"/>
        </w:rPr>
        <w:t>and fulfillment of needs, and shared emotional connection</w:t>
      </w:r>
      <w:r w:rsidR="00AE2A5B">
        <w:rPr>
          <w:rFonts w:ascii="Times New Roman" w:eastAsia="Times New Roman" w:hAnsi="Times New Roman" w:cs="Times New Roman"/>
          <w:sz w:val="24"/>
          <w:szCs w:val="24"/>
          <w:lang w:val="en-US"/>
        </w:rPr>
        <w:t xml:space="preserve">, </w:t>
      </w:r>
      <w:r w:rsidR="00AE2A5B" w:rsidRPr="00AE2A5B">
        <w:rPr>
          <w:rFonts w:ascii="Times New Roman" w:eastAsia="Times New Roman" w:hAnsi="Times New Roman" w:cs="Times New Roman"/>
          <w:sz w:val="24"/>
          <w:szCs w:val="24"/>
          <w:lang w:val="en-US"/>
        </w:rPr>
        <w:t xml:space="preserve">were present in publicly available content. This suggests that CTSOs intentionally communicate elements of belonging through their messaging, aligning with McMillan and Chavis’s (1986) </w:t>
      </w:r>
      <w:r w:rsidR="00AE2A5B">
        <w:rPr>
          <w:rFonts w:ascii="Times New Roman" w:eastAsia="Times New Roman" w:hAnsi="Times New Roman" w:cs="Times New Roman"/>
          <w:sz w:val="24"/>
          <w:szCs w:val="24"/>
          <w:lang w:val="en-US"/>
        </w:rPr>
        <w:t xml:space="preserve">SoC </w:t>
      </w:r>
      <w:r w:rsidR="00AE2A5B" w:rsidRPr="00AE2A5B">
        <w:rPr>
          <w:rFonts w:ascii="Times New Roman" w:eastAsia="Times New Roman" w:hAnsi="Times New Roman" w:cs="Times New Roman"/>
          <w:sz w:val="24"/>
          <w:szCs w:val="24"/>
          <w:lang w:val="en-US"/>
        </w:rPr>
        <w:t xml:space="preserve">framework and prior research identifying CTSOs as environments that support student engagement and connection (NRCCTE, 2005; </w:t>
      </w:r>
      <w:proofErr w:type="spellStart"/>
      <w:r w:rsidR="00AE2A5B" w:rsidRPr="00AE2A5B">
        <w:rPr>
          <w:rFonts w:ascii="Times New Roman" w:eastAsia="Times New Roman" w:hAnsi="Times New Roman" w:cs="Times New Roman"/>
          <w:sz w:val="24"/>
          <w:szCs w:val="24"/>
          <w:lang w:val="en-US"/>
        </w:rPr>
        <w:t>Magnera</w:t>
      </w:r>
      <w:proofErr w:type="spellEnd"/>
      <w:r w:rsidR="00AE2A5B" w:rsidRPr="00AE2A5B">
        <w:rPr>
          <w:rFonts w:ascii="Times New Roman" w:eastAsia="Times New Roman" w:hAnsi="Times New Roman" w:cs="Times New Roman"/>
          <w:sz w:val="24"/>
          <w:szCs w:val="24"/>
          <w:lang w:val="en-US"/>
        </w:rPr>
        <w:t>, 2024).</w:t>
      </w:r>
      <w:r w:rsidR="00AE2A5B">
        <w:rPr>
          <w:rFonts w:ascii="Times New Roman" w:eastAsia="Times New Roman" w:hAnsi="Times New Roman" w:cs="Times New Roman"/>
          <w:sz w:val="24"/>
          <w:szCs w:val="24"/>
          <w:lang w:val="en-US"/>
        </w:rPr>
        <w:t xml:space="preserve"> </w:t>
      </w:r>
    </w:p>
    <w:p w14:paraId="1D251E00" w14:textId="3E03736A" w:rsidR="00AE2A5B" w:rsidRPr="00AE2A5B" w:rsidRDefault="00AE2A5B" w:rsidP="00AE2A5B">
      <w:pPr>
        <w:ind w:firstLine="720"/>
        <w:rPr>
          <w:rFonts w:ascii="Times New Roman" w:eastAsia="Times New Roman" w:hAnsi="Times New Roman" w:cs="Times New Roman"/>
          <w:sz w:val="24"/>
          <w:szCs w:val="24"/>
          <w:lang w:val="en-US"/>
        </w:rPr>
      </w:pPr>
      <w:r w:rsidRPr="00AE2A5B">
        <w:rPr>
          <w:rFonts w:ascii="Times New Roman" w:eastAsia="Times New Roman" w:hAnsi="Times New Roman" w:cs="Times New Roman"/>
          <w:sz w:val="24"/>
          <w:szCs w:val="24"/>
          <w:lang w:val="en-US"/>
        </w:rPr>
        <w:t xml:space="preserve">Membership </w:t>
      </w:r>
      <w:proofErr w:type="gramStart"/>
      <w:r w:rsidRPr="00AE2A5B">
        <w:rPr>
          <w:rFonts w:ascii="Times New Roman" w:eastAsia="Times New Roman" w:hAnsi="Times New Roman" w:cs="Times New Roman"/>
          <w:sz w:val="24"/>
          <w:szCs w:val="24"/>
          <w:lang w:val="en-US"/>
        </w:rPr>
        <w:t>was consistently emphasized</w:t>
      </w:r>
      <w:proofErr w:type="gramEnd"/>
      <w:r w:rsidRPr="00AE2A5B">
        <w:rPr>
          <w:rFonts w:ascii="Times New Roman" w:eastAsia="Times New Roman" w:hAnsi="Times New Roman" w:cs="Times New Roman"/>
          <w:sz w:val="24"/>
          <w:szCs w:val="24"/>
          <w:lang w:val="en-US"/>
        </w:rPr>
        <w:t xml:space="preserve"> through clear structures for joining, chapter organization, and identity, reinforcing the importance of defined group boundaries in fostering belonging (McMillan &amp; Chavis, 1986). This aligns with research indicating that structured participation supports inclusion and engagement (Lewis &amp; Bates, 2018; NRCCTE, 2005).</w:t>
      </w:r>
      <w:r>
        <w:rPr>
          <w:rFonts w:ascii="Times New Roman" w:eastAsia="Times New Roman" w:hAnsi="Times New Roman" w:cs="Times New Roman"/>
          <w:sz w:val="24"/>
          <w:szCs w:val="24"/>
          <w:lang w:val="en-US"/>
        </w:rPr>
        <w:t xml:space="preserve"> </w:t>
      </w:r>
      <w:r w:rsidRPr="00AE2A5B">
        <w:rPr>
          <w:rFonts w:ascii="Times New Roman" w:eastAsia="Times New Roman" w:hAnsi="Times New Roman" w:cs="Times New Roman"/>
          <w:sz w:val="24"/>
          <w:szCs w:val="24"/>
          <w:lang w:val="en-US"/>
        </w:rPr>
        <w:t>Opportunities for influence were also prominent, with all organizations highlighting leadership roles, student voice, and active participation. These findings reflect the reciprocal relationship between members and organizations described in SoC Theory and support existing literature linking leadership engagement to increased motivation and involvement (Taylor, 2006; Threeton &amp; Pellock, 2009).</w:t>
      </w:r>
      <w:r>
        <w:rPr>
          <w:rFonts w:ascii="Times New Roman" w:eastAsia="Times New Roman" w:hAnsi="Times New Roman" w:cs="Times New Roman"/>
          <w:sz w:val="24"/>
          <w:szCs w:val="24"/>
          <w:lang w:val="en-US"/>
        </w:rPr>
        <w:t xml:space="preserve"> </w:t>
      </w:r>
      <w:r w:rsidRPr="00AE2A5B">
        <w:rPr>
          <w:rFonts w:ascii="Times New Roman" w:eastAsia="Times New Roman" w:hAnsi="Times New Roman" w:cs="Times New Roman"/>
          <w:sz w:val="24"/>
          <w:szCs w:val="24"/>
          <w:lang w:val="en-US"/>
        </w:rPr>
        <w:t>The integration and fulfillment of needs dimension was evident through messaging around career readiness, skill development, and professional opportunities. This supports prior research demonstrating that CTSO participation enhances students’ perceptions of college and career readiness (Haynes, 2021; Marshall, 2024) and reinforces the role of CTSOs as experiential learning environments (Swinehart Held, 2023; NRCCTE, 2005).</w:t>
      </w:r>
      <w:r>
        <w:rPr>
          <w:rFonts w:ascii="Times New Roman" w:eastAsia="Times New Roman" w:hAnsi="Times New Roman" w:cs="Times New Roman"/>
          <w:sz w:val="24"/>
          <w:szCs w:val="24"/>
          <w:lang w:val="en-US"/>
        </w:rPr>
        <w:t xml:space="preserve"> </w:t>
      </w:r>
      <w:r w:rsidRPr="00AE2A5B">
        <w:rPr>
          <w:rFonts w:ascii="Times New Roman" w:eastAsia="Times New Roman" w:hAnsi="Times New Roman" w:cs="Times New Roman"/>
          <w:sz w:val="24"/>
          <w:szCs w:val="24"/>
          <w:lang w:val="en-US"/>
        </w:rPr>
        <w:t>Shared emotional connection was communicated through conferences, competitions, traditions, and member success stories. These shared experiences align with research highlighting their role in fostering belonging and organizational identity (McMillan &amp; Chavis, 1986; Gieg et al., 2015; NRCCTE, 2005).</w:t>
      </w:r>
    </w:p>
    <w:p w14:paraId="79BE80FA" w14:textId="3F7C8B02" w:rsidR="007F5B3F" w:rsidRPr="00AE2A5B" w:rsidRDefault="00AE2A5B" w:rsidP="00AE2A5B">
      <w:pPr>
        <w:ind w:firstLine="720"/>
        <w:rPr>
          <w:rFonts w:ascii="Times New Roman" w:eastAsia="Times New Roman" w:hAnsi="Times New Roman" w:cs="Times New Roman"/>
          <w:sz w:val="24"/>
          <w:szCs w:val="24"/>
          <w:lang w:val="en-US"/>
        </w:rPr>
      </w:pPr>
      <w:r w:rsidRPr="00AE2A5B">
        <w:rPr>
          <w:rFonts w:ascii="Times New Roman" w:eastAsia="Times New Roman" w:hAnsi="Times New Roman" w:cs="Times New Roman"/>
          <w:sz w:val="24"/>
          <w:szCs w:val="24"/>
          <w:lang w:val="en-US"/>
        </w:rPr>
        <w:t>Although all organizations reflected SoC tenets, differences emerged in the depth of communication. FCCLA and FFA provided the most comprehensive representations, while PAS and TSA offered more limited public-facing content. As McMillan (1996) suggests, community is reinforced through communication, indicating that more explicit messaging may strengthen perceptions of belonging.</w:t>
      </w:r>
      <w:r>
        <w:rPr>
          <w:rFonts w:ascii="Times New Roman" w:eastAsia="Times New Roman" w:hAnsi="Times New Roman" w:cs="Times New Roman"/>
          <w:sz w:val="24"/>
          <w:szCs w:val="24"/>
          <w:lang w:val="en-US"/>
        </w:rPr>
        <w:t xml:space="preserve"> </w:t>
      </w:r>
      <w:r w:rsidRPr="00AE2A5B">
        <w:rPr>
          <w:rFonts w:ascii="Times New Roman" w:eastAsia="Times New Roman" w:hAnsi="Times New Roman" w:cs="Times New Roman"/>
          <w:sz w:val="24"/>
          <w:szCs w:val="24"/>
          <w:lang w:val="en-US"/>
        </w:rPr>
        <w:t>Overall, CTSO websites function not only as informational tools but as mechanisms for communicating community and identity. While the presence of SoC elements is consistent, variation in their visibility highlights an opportunity for more intentional and explicit communication of belonging across organizations.</w:t>
      </w:r>
    </w:p>
    <w:p w14:paraId="1C66E5F1" w14:textId="77777777" w:rsidR="007F5B3F" w:rsidRDefault="007F5B3F">
      <w:pPr>
        <w:jc w:val="center"/>
        <w:rPr>
          <w:rFonts w:ascii="Times New Roman" w:eastAsia="Times New Roman" w:hAnsi="Times New Roman" w:cs="Times New Roman"/>
          <w:b/>
          <w:bCs/>
          <w:sz w:val="24"/>
          <w:szCs w:val="24"/>
        </w:rPr>
      </w:pPr>
    </w:p>
    <w:p w14:paraId="3290106A" w14:textId="71124414" w:rsidR="007F5B3F" w:rsidRDefault="007F08C3">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Recommendations/Discussion/Implications</w:t>
      </w:r>
    </w:p>
    <w:p w14:paraId="5BD27F62" w14:textId="77777777" w:rsidR="007F5B3F" w:rsidRDefault="007F5B3F">
      <w:pPr>
        <w:rPr>
          <w:rFonts w:ascii="Times New Roman" w:eastAsia="Times New Roman" w:hAnsi="Times New Roman" w:cs="Times New Roman"/>
          <w:b/>
          <w:bCs/>
          <w:sz w:val="24"/>
          <w:szCs w:val="24"/>
        </w:rPr>
      </w:pPr>
    </w:p>
    <w:p w14:paraId="7CA6EC29" w14:textId="77777777" w:rsidR="00240809" w:rsidRDefault="00000000" w:rsidP="00240809">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purpose of this study was to examine the extent to which the tenets of </w:t>
      </w:r>
      <w:r w:rsidR="0097617C">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SoC </w:t>
      </w:r>
      <w:r w:rsidR="0097617C">
        <w:rPr>
          <w:rFonts w:ascii="Times New Roman" w:eastAsia="Times New Roman" w:hAnsi="Times New Roman" w:cs="Times New Roman"/>
          <w:sz w:val="24"/>
          <w:szCs w:val="24"/>
        </w:rPr>
        <w:t xml:space="preserve">Theory </w:t>
      </w:r>
      <w:r w:rsidR="007F08C3">
        <w:rPr>
          <w:rFonts w:ascii="Times New Roman" w:eastAsia="Times New Roman" w:hAnsi="Times New Roman" w:cs="Times New Roman"/>
          <w:sz w:val="24"/>
          <w:szCs w:val="24"/>
        </w:rPr>
        <w:t>were</w:t>
      </w:r>
      <w:r>
        <w:rPr>
          <w:rFonts w:ascii="Times New Roman" w:eastAsia="Times New Roman" w:hAnsi="Times New Roman" w:cs="Times New Roman"/>
          <w:sz w:val="24"/>
          <w:szCs w:val="24"/>
        </w:rPr>
        <w:t xml:space="preserve"> present in the publicly accessible website content of the BPA, DECA, FBLA, FCCLA, FFA, HOSA, PAS, SkillsUSA, and TSA. The website content was also examined to determine the similarities and differences between what information was shared on these CTSO publicly available websites. This research study highlights the importance of information on public websites of organizations so that a clear picture can be drawn about the organization and how members engage. This allows information about the organization to be made clear to the public who might be considering partnering with the organization locally. One limitation of this study is that the content on the website</w:t>
      </w:r>
      <w:r w:rsidR="006A102E">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that w</w:t>
      </w:r>
      <w:r w:rsidR="006A102E">
        <w:rPr>
          <w:rFonts w:ascii="Times New Roman" w:eastAsia="Times New Roman" w:hAnsi="Times New Roman" w:cs="Times New Roman"/>
          <w:sz w:val="24"/>
          <w:szCs w:val="24"/>
        </w:rPr>
        <w:t xml:space="preserve">ere </w:t>
      </w:r>
      <w:r>
        <w:rPr>
          <w:rFonts w:ascii="Times New Roman" w:eastAsia="Times New Roman" w:hAnsi="Times New Roman" w:cs="Times New Roman"/>
          <w:sz w:val="24"/>
          <w:szCs w:val="24"/>
        </w:rPr>
        <w:t>studied only included the information that was publicly available. More information to address the tenets of SoC Theory might be behind the student or advisor log-in on the websites.</w:t>
      </w:r>
    </w:p>
    <w:p w14:paraId="5A3F1C0F" w14:textId="77777777" w:rsidR="00240809" w:rsidRDefault="00000000" w:rsidP="0024080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Across organizations, SoC </w:t>
      </w:r>
      <w:r w:rsidR="006A102E">
        <w:rPr>
          <w:rFonts w:ascii="Times New Roman" w:eastAsia="Times New Roman" w:hAnsi="Times New Roman" w:cs="Times New Roman"/>
          <w:sz w:val="24"/>
          <w:szCs w:val="24"/>
        </w:rPr>
        <w:t xml:space="preserve">Theory </w:t>
      </w:r>
      <w:proofErr w:type="gramStart"/>
      <w:r>
        <w:rPr>
          <w:rFonts w:ascii="Times New Roman" w:eastAsia="Times New Roman" w:hAnsi="Times New Roman" w:cs="Times New Roman"/>
          <w:sz w:val="24"/>
          <w:szCs w:val="24"/>
        </w:rPr>
        <w:t>was most strongly communicated</w:t>
      </w:r>
      <w:proofErr w:type="gramEnd"/>
      <w:r>
        <w:rPr>
          <w:rFonts w:ascii="Times New Roman" w:eastAsia="Times New Roman" w:hAnsi="Times New Roman" w:cs="Times New Roman"/>
          <w:sz w:val="24"/>
          <w:szCs w:val="24"/>
        </w:rPr>
        <w:t xml:space="preserve"> through descriptions of leadership opportunities, competitive events, conferences, and professional development experiences. These elements reflect the integration and fulfillment of needs and shared emotional connection components of SoC</w:t>
      </w:r>
      <w:r w:rsidR="0097617C">
        <w:rPr>
          <w:rFonts w:ascii="Times New Roman" w:eastAsia="Times New Roman" w:hAnsi="Times New Roman" w:cs="Times New Roman"/>
          <w:sz w:val="24"/>
          <w:szCs w:val="24"/>
        </w:rPr>
        <w:t xml:space="preserve"> Theory</w:t>
      </w:r>
      <w:r>
        <w:rPr>
          <w:rFonts w:ascii="Times New Roman" w:eastAsia="Times New Roman" w:hAnsi="Times New Roman" w:cs="Times New Roman"/>
          <w:sz w:val="24"/>
          <w:szCs w:val="24"/>
        </w:rPr>
        <w:t>, as they emphasize skill development, collective achievement, and shared experiences among members. The consistent presence of these offerings across CTSOs highlights a shared understanding of engagement as central to college and career readiness and aligns with prior research positioning CTSOs as contexts for experiential learning and youth development.</w:t>
      </w:r>
      <w:r w:rsidR="007F08C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Despite this consistency, notable differences emerged in the depth and explicitness with which SoC </w:t>
      </w:r>
      <w:r w:rsidR="006A102E">
        <w:rPr>
          <w:rFonts w:ascii="Times New Roman" w:eastAsia="Times New Roman" w:hAnsi="Times New Roman" w:cs="Times New Roman"/>
          <w:sz w:val="24"/>
          <w:szCs w:val="24"/>
        </w:rPr>
        <w:t xml:space="preserve">Theory </w:t>
      </w:r>
      <w:r>
        <w:rPr>
          <w:rFonts w:ascii="Times New Roman" w:eastAsia="Times New Roman" w:hAnsi="Times New Roman" w:cs="Times New Roman"/>
          <w:sz w:val="24"/>
          <w:szCs w:val="24"/>
        </w:rPr>
        <w:t>tenets were communicated. FCCLA and FFA provided the most extensive and detailed website content related to community, belonging, and engagement, whereas PAS and TSA offered more limited public-facing information. These differences may reflect variation in organizational size, resources, historical longevity, or communication strategies rather than a lack of commitment to student belonging. Importantly, even organizations with less descriptive website content still communicated core elements of SoC</w:t>
      </w:r>
      <w:r w:rsidR="006A102E">
        <w:rPr>
          <w:rFonts w:ascii="Times New Roman" w:eastAsia="Times New Roman" w:hAnsi="Times New Roman" w:cs="Times New Roman"/>
          <w:sz w:val="24"/>
          <w:szCs w:val="24"/>
        </w:rPr>
        <w:t xml:space="preserve"> Theory</w:t>
      </w:r>
      <w:r>
        <w:rPr>
          <w:rFonts w:ascii="Times New Roman" w:eastAsia="Times New Roman" w:hAnsi="Times New Roman" w:cs="Times New Roman"/>
          <w:sz w:val="24"/>
          <w:szCs w:val="24"/>
        </w:rPr>
        <w:t xml:space="preserve"> through mission statements, activity descriptions, and membership information.</w:t>
      </w:r>
    </w:p>
    <w:p w14:paraId="23C6C92B" w14:textId="77777777" w:rsidR="00240809" w:rsidRDefault="00000000" w:rsidP="0024080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Explicit statements addressing belonging, inclusion, and behavioral expectations varied across organizations. BPA, FBLA, FCCLA, FFA, PAS, and SkillsUSA publicly shared a Non-discrimination Statement, Statement of Belonging, or Code of Conduct, which directly supports </w:t>
      </w:r>
      <w:r w:rsidRPr="007F08C3">
        <w:rPr>
          <w:rFonts w:ascii="Times New Roman" w:eastAsia="Times New Roman" w:hAnsi="Times New Roman" w:cs="Times New Roman"/>
          <w:sz w:val="24"/>
          <w:szCs w:val="24"/>
        </w:rPr>
        <w:t>the membership and influence</w:t>
      </w:r>
      <w:r>
        <w:rPr>
          <w:rFonts w:ascii="Times New Roman" w:eastAsia="Times New Roman" w:hAnsi="Times New Roman" w:cs="Times New Roman"/>
          <w:sz w:val="24"/>
          <w:szCs w:val="24"/>
        </w:rPr>
        <w:t xml:space="preserve"> tenets of SoC </w:t>
      </w:r>
      <w:r w:rsidR="0097617C">
        <w:rPr>
          <w:rFonts w:ascii="Times New Roman" w:eastAsia="Times New Roman" w:hAnsi="Times New Roman" w:cs="Times New Roman"/>
          <w:sz w:val="24"/>
          <w:szCs w:val="24"/>
        </w:rPr>
        <w:t xml:space="preserve">Theory </w:t>
      </w:r>
      <w:r>
        <w:rPr>
          <w:rFonts w:ascii="Times New Roman" w:eastAsia="Times New Roman" w:hAnsi="Times New Roman" w:cs="Times New Roman"/>
          <w:sz w:val="24"/>
          <w:szCs w:val="24"/>
        </w:rPr>
        <w:t xml:space="preserve">by clarifying norms, values, and expectations for participation. The absence of such statements on </w:t>
      </w:r>
      <w:proofErr w:type="gramStart"/>
      <w:r>
        <w:rPr>
          <w:rFonts w:ascii="Times New Roman" w:eastAsia="Times New Roman" w:hAnsi="Times New Roman" w:cs="Times New Roman"/>
          <w:sz w:val="24"/>
          <w:szCs w:val="24"/>
        </w:rPr>
        <w:t>some</w:t>
      </w:r>
      <w:proofErr w:type="gramEnd"/>
      <w:r>
        <w:rPr>
          <w:rFonts w:ascii="Times New Roman" w:eastAsia="Times New Roman" w:hAnsi="Times New Roman" w:cs="Times New Roman"/>
          <w:sz w:val="24"/>
          <w:szCs w:val="24"/>
        </w:rPr>
        <w:t xml:space="preserve"> public websites does not necessarily indicate their absence within the organization, but it may limit how clearly prospective members and stakeholders can identify organizational commitments to inclusion and community.</w:t>
      </w:r>
    </w:p>
    <w:p w14:paraId="0FB1F266" w14:textId="77777777" w:rsidR="00240809" w:rsidRDefault="00000000" w:rsidP="0024080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Opportunities for member voice and interaction </w:t>
      </w:r>
      <w:proofErr w:type="gramStart"/>
      <w:r>
        <w:rPr>
          <w:rFonts w:ascii="Times New Roman" w:eastAsia="Times New Roman" w:hAnsi="Times New Roman" w:cs="Times New Roman"/>
          <w:sz w:val="24"/>
          <w:szCs w:val="24"/>
        </w:rPr>
        <w:t>were also unevenly represented</w:t>
      </w:r>
      <w:proofErr w:type="gramEnd"/>
      <w:r>
        <w:rPr>
          <w:rFonts w:ascii="Times New Roman" w:eastAsia="Times New Roman" w:hAnsi="Times New Roman" w:cs="Times New Roman"/>
          <w:sz w:val="24"/>
          <w:szCs w:val="24"/>
        </w:rPr>
        <w:t>. While all CTSOs described ways members can contribute ideas or engage in leadership</w:t>
      </w:r>
      <w:r w:rsidR="0050023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FBLA and TSA provided interactive online features such as discussion boards that allow members to connect directly through the website. Similarly, only a small number of organizations publicly shared national competition results, which may serve as a mechanism for reinforcing shared emotional connection and identity. These differences suggest that CTSOs vary in how intentionally they leverage </w:t>
      </w:r>
      <w:r w:rsidR="007F08C3">
        <w:rPr>
          <w:rFonts w:ascii="Times New Roman" w:eastAsia="Times New Roman" w:hAnsi="Times New Roman" w:cs="Times New Roman"/>
          <w:sz w:val="24"/>
          <w:szCs w:val="24"/>
        </w:rPr>
        <w:t>their website</w:t>
      </w:r>
      <w:r>
        <w:rPr>
          <w:rFonts w:ascii="Times New Roman" w:eastAsia="Times New Roman" w:hAnsi="Times New Roman" w:cs="Times New Roman"/>
          <w:sz w:val="24"/>
          <w:szCs w:val="24"/>
        </w:rPr>
        <w:t xml:space="preserve"> to reinforce community beyond in-person events.</w:t>
      </w:r>
      <w:r w:rsidR="0024080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Collectively, the findings suggest that while the tenets of SoC Theory are broadly present across CTSO websites, organizations differ in how explicitly and comprehensively they communicate these elements to external audiences. Websites appear to function not only as informational tools but also as symbolic spaces where organizational values related to belonging and engagement </w:t>
      </w:r>
      <w:proofErr w:type="gramStart"/>
      <w:r>
        <w:rPr>
          <w:rFonts w:ascii="Times New Roman" w:eastAsia="Times New Roman" w:hAnsi="Times New Roman" w:cs="Times New Roman"/>
          <w:sz w:val="24"/>
          <w:szCs w:val="24"/>
        </w:rPr>
        <w:t>are conveyed</w:t>
      </w:r>
      <w:proofErr w:type="gramEnd"/>
      <w:r>
        <w:rPr>
          <w:rFonts w:ascii="Times New Roman" w:eastAsia="Times New Roman" w:hAnsi="Times New Roman" w:cs="Times New Roman"/>
          <w:sz w:val="24"/>
          <w:szCs w:val="24"/>
        </w:rPr>
        <w:t>.</w:t>
      </w:r>
      <w:bookmarkStart w:id="0" w:name="_wl9l2tuueto" w:colFirst="0" w:colLast="0"/>
      <w:bookmarkEnd w:id="0"/>
    </w:p>
    <w:p w14:paraId="5E024711" w14:textId="320C4076" w:rsidR="00240809" w:rsidRDefault="00000000" w:rsidP="0024080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For CTSO leaders and advisors, these findings underscore the importance of organizational websites as entry points into the student experience. Public-facing website content plays a critical role in shaping perceptions of belonging for prospective members, families, educators, and stakeholders. Organizations may benefit from intentionally aligning website messaging with the tenets of SoC Theory by clearly articulating how membership, voice, shared experiences, and member needs are supported.</w:t>
      </w:r>
      <w:r w:rsidR="007F08C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CTSO leaders may also consider increasing the visibility of Statements of Belonging, Non-discrimination Statements, and Codes of Conduct on public websites. Making these commitments explicit may strengthen perceptions of psychological safety and inclusion, particularly for students from historically marginalized backgrounds. Additionally, incorporating interactive features, member stories, and celebratory artifacts such as competition results may further enhance shared emotional connection and reinforce organizational identity.</w:t>
      </w:r>
      <w:r w:rsidR="007F08C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At the local level, educators and advisors can use national CTSO website content as a tool to introduce students to organizational values and opportunities for engagement. Highlighting how CTSOs foster community may support recruitment, retention, and </w:t>
      </w:r>
      <w:r w:rsidR="00240809">
        <w:rPr>
          <w:rFonts w:ascii="Times New Roman" w:eastAsia="Times New Roman" w:hAnsi="Times New Roman" w:cs="Times New Roman"/>
          <w:sz w:val="24"/>
          <w:szCs w:val="24"/>
        </w:rPr>
        <w:t>sustain</w:t>
      </w:r>
      <w:r>
        <w:rPr>
          <w:rFonts w:ascii="Times New Roman" w:eastAsia="Times New Roman" w:hAnsi="Times New Roman" w:cs="Times New Roman"/>
          <w:sz w:val="24"/>
          <w:szCs w:val="24"/>
        </w:rPr>
        <w:t xml:space="preserve"> student participation.</w:t>
      </w:r>
      <w:bookmarkStart w:id="1" w:name="_6y7e0ha83gd2" w:colFirst="0" w:colLast="0"/>
      <w:bookmarkEnd w:id="1"/>
    </w:p>
    <w:p w14:paraId="4B1AFDBC" w14:textId="5DFD6B17" w:rsidR="00264709" w:rsidRDefault="00000000" w:rsidP="00240809">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Future research should examine social media platforms, and chapter-level websites to gain a more comprehensive understanding of how SoC </w:t>
      </w:r>
      <w:r w:rsidR="007F08C3">
        <w:rPr>
          <w:rFonts w:ascii="Times New Roman" w:eastAsia="Times New Roman" w:hAnsi="Times New Roman" w:cs="Times New Roman"/>
          <w:sz w:val="24"/>
          <w:szCs w:val="24"/>
        </w:rPr>
        <w:t xml:space="preserve">Theory </w:t>
      </w:r>
      <w:proofErr w:type="gramStart"/>
      <w:r>
        <w:rPr>
          <w:rFonts w:ascii="Times New Roman" w:eastAsia="Times New Roman" w:hAnsi="Times New Roman" w:cs="Times New Roman"/>
          <w:sz w:val="24"/>
          <w:szCs w:val="24"/>
        </w:rPr>
        <w:t>is communicated</w:t>
      </w:r>
      <w:proofErr w:type="gramEnd"/>
      <w:r>
        <w:rPr>
          <w:rFonts w:ascii="Times New Roman" w:eastAsia="Times New Roman" w:hAnsi="Times New Roman" w:cs="Times New Roman"/>
          <w:sz w:val="24"/>
          <w:szCs w:val="24"/>
        </w:rPr>
        <w:t xml:space="preserve"> and experienced across organizational levels. Additionally, qualitative studies that include student and advisor perspectives could help determine whether website representations align with lived experiences of belonging and engagement</w:t>
      </w:r>
      <w:r w:rsidR="007F08C3">
        <w:rPr>
          <w:rFonts w:ascii="Times New Roman" w:eastAsia="Times New Roman" w:hAnsi="Times New Roman" w:cs="Times New Roman"/>
          <w:sz w:val="24"/>
          <w:szCs w:val="24"/>
        </w:rPr>
        <w:t xml:space="preserve"> for CTSO members</w:t>
      </w:r>
      <w:r>
        <w:rPr>
          <w:rFonts w:ascii="Times New Roman" w:eastAsia="Times New Roman" w:hAnsi="Times New Roman" w:cs="Times New Roman"/>
          <w:sz w:val="24"/>
          <w:szCs w:val="24"/>
        </w:rPr>
        <w:t>.</w:t>
      </w:r>
      <w:r w:rsidR="007F08C3">
        <w:rPr>
          <w:rFonts w:ascii="Times New Roman" w:eastAsia="Times New Roman" w:hAnsi="Times New Roman" w:cs="Times New Roman"/>
          <w:sz w:val="24"/>
          <w:szCs w:val="24"/>
        </w:rPr>
        <w:t xml:space="preserve"> </w:t>
      </w:r>
    </w:p>
    <w:p w14:paraId="5855096F" w14:textId="77777777" w:rsidR="007E2C49" w:rsidRDefault="007E2C49">
      <w:pPr>
        <w:rPr>
          <w:rFonts w:ascii="Times New Roman" w:eastAsia="Times New Roman" w:hAnsi="Times New Roman" w:cs="Times New Roman"/>
          <w:b/>
          <w:bCs/>
          <w:sz w:val="24"/>
          <w:szCs w:val="24"/>
        </w:rPr>
      </w:pPr>
      <w:bookmarkStart w:id="2" w:name="_Hlk225949927"/>
      <w:r>
        <w:rPr>
          <w:rFonts w:ascii="Times New Roman" w:eastAsia="Times New Roman" w:hAnsi="Times New Roman" w:cs="Times New Roman"/>
          <w:b/>
          <w:bCs/>
          <w:sz w:val="24"/>
          <w:szCs w:val="24"/>
        </w:rPr>
        <w:br w:type="page"/>
      </w:r>
    </w:p>
    <w:p w14:paraId="10EB8907" w14:textId="2151C090" w:rsidR="007F5B3F" w:rsidRPr="00264709" w:rsidRDefault="00000000" w:rsidP="00264709">
      <w:pPr>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References</w:t>
      </w:r>
    </w:p>
    <w:p w14:paraId="2D41D1E5" w14:textId="77777777" w:rsidR="006F6F92" w:rsidRDefault="006F6F92">
      <w:pPr>
        <w:jc w:val="center"/>
        <w:rPr>
          <w:rFonts w:ascii="Times New Roman" w:eastAsia="Times New Roman" w:hAnsi="Times New Roman" w:cs="Times New Roman"/>
          <w:b/>
          <w:bCs/>
          <w:sz w:val="24"/>
          <w:szCs w:val="24"/>
        </w:rPr>
      </w:pPr>
    </w:p>
    <w:p w14:paraId="182DA543" w14:textId="1F77D701" w:rsidR="006A102E" w:rsidRPr="00D360E2" w:rsidRDefault="006A102E" w:rsidP="006F6F92">
      <w:pPr>
        <w:spacing w:line="480" w:lineRule="auto"/>
        <w:ind w:left="720" w:hanging="720"/>
        <w:rPr>
          <w:rFonts w:ascii="Times New Roman" w:eastAsia="Times New Roman" w:hAnsi="Times New Roman" w:cs="Times New Roman"/>
          <w:sz w:val="24"/>
          <w:szCs w:val="24"/>
          <w:lang w:val="en-US"/>
        </w:rPr>
      </w:pPr>
      <w:r w:rsidRPr="00D360E2">
        <w:rPr>
          <w:rFonts w:ascii="Times New Roman" w:eastAsia="Times New Roman" w:hAnsi="Times New Roman" w:cs="Times New Roman"/>
          <w:sz w:val="24"/>
          <w:szCs w:val="24"/>
          <w:lang w:val="en-US"/>
        </w:rPr>
        <w:t>Advance CTE. (2025).</w:t>
      </w:r>
      <w:r w:rsidRPr="006A102E">
        <w:rPr>
          <w:rFonts w:ascii="Times New Roman" w:eastAsia="Times New Roman" w:hAnsi="Times New Roman" w:cs="Times New Roman"/>
          <w:sz w:val="24"/>
          <w:szCs w:val="24"/>
          <w:lang w:val="en-US"/>
        </w:rPr>
        <w:t xml:space="preserve"> </w:t>
      </w:r>
      <w:r w:rsidRPr="006A102E">
        <w:rPr>
          <w:rFonts w:ascii="Times New Roman" w:eastAsia="Times New Roman" w:hAnsi="Times New Roman" w:cs="Times New Roman"/>
          <w:i/>
          <w:iCs/>
          <w:sz w:val="24"/>
          <w:szCs w:val="24"/>
          <w:lang w:val="en-US"/>
        </w:rPr>
        <w:t>Research round-up: What research says about supporting the CTE educator workforce</w:t>
      </w:r>
      <w:r w:rsidRPr="006A102E">
        <w:rPr>
          <w:rFonts w:ascii="Times New Roman" w:eastAsia="Times New Roman" w:hAnsi="Times New Roman" w:cs="Times New Roman"/>
          <w:sz w:val="24"/>
          <w:szCs w:val="24"/>
          <w:lang w:val="en-US"/>
        </w:rPr>
        <w:t>. Advance CTE. https://careertech.org/blog/research-round-up-what-research-says-about-supporting-the-cte-educator-workforce/</w:t>
      </w:r>
    </w:p>
    <w:p w14:paraId="6780B8B3" w14:textId="7EBE8052" w:rsidR="00264709" w:rsidRDefault="00264709" w:rsidP="006F6F92">
      <w:pPr>
        <w:spacing w:line="480" w:lineRule="auto"/>
        <w:ind w:left="720" w:hanging="720"/>
        <w:rPr>
          <w:rFonts w:ascii="Times New Roman" w:eastAsia="Times New Roman" w:hAnsi="Times New Roman" w:cs="Times New Roman"/>
          <w:sz w:val="24"/>
          <w:szCs w:val="24"/>
        </w:rPr>
      </w:pPr>
      <w:r w:rsidRPr="00264709">
        <w:rPr>
          <w:rFonts w:ascii="Times New Roman" w:eastAsia="Times New Roman" w:hAnsi="Times New Roman" w:cs="Times New Roman"/>
          <w:sz w:val="24"/>
          <w:szCs w:val="24"/>
        </w:rPr>
        <w:t>Beck, C., Loera, G., Nakamoto, J., &amp; Parsons, J. (2022). A qualitative study: Examining students' involvement in a career and technical student organization and practicing and promoting mental wellness. Journal of Research in Technical Careers, 6(1), 47–64.</w:t>
      </w:r>
      <w:r w:rsidR="00C9249A">
        <w:rPr>
          <w:rFonts w:ascii="Times New Roman" w:eastAsia="Times New Roman" w:hAnsi="Times New Roman" w:cs="Times New Roman"/>
          <w:sz w:val="24"/>
          <w:szCs w:val="24"/>
        </w:rPr>
        <w:t xml:space="preserve"> https://doi.org/10.5038/2641-0044.6.1.1108</w:t>
      </w:r>
    </w:p>
    <w:p w14:paraId="299FDE18" w14:textId="39E37EB5" w:rsidR="00BF2A1F" w:rsidRDefault="00BF2A1F" w:rsidP="006F6F92">
      <w:pPr>
        <w:spacing w:line="480" w:lineRule="auto"/>
        <w:ind w:left="720" w:hanging="720"/>
        <w:rPr>
          <w:rFonts w:ascii="Times New Roman" w:eastAsia="Times New Roman" w:hAnsi="Times New Roman" w:cs="Times New Roman"/>
          <w:sz w:val="24"/>
          <w:szCs w:val="24"/>
          <w:lang w:val="en-US"/>
        </w:rPr>
      </w:pPr>
      <w:r w:rsidRPr="00BF2A1F">
        <w:rPr>
          <w:rFonts w:ascii="Times New Roman" w:eastAsia="Times New Roman" w:hAnsi="Times New Roman" w:cs="Times New Roman"/>
          <w:sz w:val="24"/>
          <w:szCs w:val="24"/>
        </w:rPr>
        <w:t>Bowling, A., &amp; Ball, A. (2020). Supporting students’ psychological needs and motivation within school based agricultural education programs: A mixed methods study. Journal of Agricultural Education, 61(2), 206–221. https://doi.org/10.5032/jae.2020.02206</w:t>
      </w:r>
    </w:p>
    <w:p w14:paraId="4A34A474" w14:textId="69107CB5" w:rsidR="00BF2A1F" w:rsidRDefault="00BF2A1F" w:rsidP="006F6F92">
      <w:pPr>
        <w:spacing w:line="480" w:lineRule="auto"/>
        <w:ind w:left="720" w:hanging="720"/>
        <w:rPr>
          <w:rFonts w:ascii="Times New Roman" w:eastAsia="Times New Roman" w:hAnsi="Times New Roman" w:cs="Times New Roman"/>
          <w:sz w:val="24"/>
          <w:szCs w:val="24"/>
        </w:rPr>
      </w:pPr>
      <w:r w:rsidRPr="00BF2A1F">
        <w:rPr>
          <w:rFonts w:ascii="Times New Roman" w:eastAsia="Times New Roman" w:hAnsi="Times New Roman" w:cs="Times New Roman"/>
          <w:sz w:val="24"/>
          <w:szCs w:val="24"/>
        </w:rPr>
        <w:t>Curry, K. W. (2017). Motivations of FFA career development event competitors and coaches. North Carolina State University.</w:t>
      </w:r>
    </w:p>
    <w:p w14:paraId="4F39B01D" w14:textId="58FFA281" w:rsidR="007E2C49" w:rsidRPr="007E2C49" w:rsidRDefault="007E2C49" w:rsidP="007E2C49">
      <w:pPr>
        <w:spacing w:line="480" w:lineRule="auto"/>
        <w:ind w:left="720" w:hanging="720"/>
        <w:rPr>
          <w:rFonts w:ascii="Times New Roman" w:eastAsia="Times New Roman" w:hAnsi="Times New Roman" w:cs="Times New Roman"/>
          <w:sz w:val="24"/>
          <w:szCs w:val="24"/>
          <w:lang w:val="en-US"/>
        </w:rPr>
      </w:pPr>
      <w:r w:rsidRPr="007E2C49">
        <w:rPr>
          <w:rFonts w:ascii="Times New Roman" w:eastAsia="Times New Roman" w:hAnsi="Times New Roman" w:cs="Times New Roman"/>
          <w:sz w:val="24"/>
          <w:szCs w:val="24"/>
          <w:lang w:val="en-US"/>
        </w:rPr>
        <w:t xml:space="preserve">Education Week. (2025). </w:t>
      </w:r>
      <w:r w:rsidRPr="007E2C49">
        <w:rPr>
          <w:rFonts w:ascii="Times New Roman" w:eastAsia="Times New Roman" w:hAnsi="Times New Roman" w:cs="Times New Roman"/>
          <w:i/>
          <w:iCs/>
          <w:sz w:val="24"/>
          <w:szCs w:val="24"/>
          <w:lang w:val="en-US"/>
        </w:rPr>
        <w:t>Why schools are adding to their CTE offerings—and what could slow them down</w:t>
      </w:r>
      <w:r w:rsidRPr="007E2C49">
        <w:rPr>
          <w:rFonts w:ascii="Times New Roman" w:eastAsia="Times New Roman" w:hAnsi="Times New Roman" w:cs="Times New Roman"/>
          <w:sz w:val="24"/>
          <w:szCs w:val="24"/>
          <w:lang w:val="en-US"/>
        </w:rPr>
        <w:t>. https://www.edweek.org/teaching-learning/why-schools-are-adding-to-their-cte-offerings-and-what-could-slow-them-down/2025/11</w:t>
      </w:r>
    </w:p>
    <w:p w14:paraId="76F3BBEA" w14:textId="2A16FECC" w:rsidR="00D360E2" w:rsidRPr="00D360E2" w:rsidRDefault="00D360E2" w:rsidP="006F6F92">
      <w:pPr>
        <w:spacing w:line="480" w:lineRule="auto"/>
        <w:ind w:left="720" w:hanging="720"/>
        <w:rPr>
          <w:rFonts w:ascii="Times New Roman" w:eastAsia="Times New Roman" w:hAnsi="Times New Roman" w:cs="Times New Roman"/>
          <w:sz w:val="24"/>
          <w:szCs w:val="24"/>
        </w:rPr>
      </w:pPr>
      <w:r w:rsidRPr="00D360E2">
        <w:rPr>
          <w:rFonts w:ascii="Times New Roman" w:eastAsia="Times New Roman" w:hAnsi="Times New Roman" w:cs="Times New Roman"/>
          <w:sz w:val="24"/>
          <w:szCs w:val="24"/>
        </w:rPr>
        <w:t xml:space="preserve">Gieg, S., Oyarzun, L., Reardon, J. C., &amp; Gant, J. (2015). The impact of student organizations on sense of belonging. </w:t>
      </w:r>
      <w:r w:rsidRPr="00D360E2">
        <w:rPr>
          <w:rFonts w:ascii="Times New Roman" w:eastAsia="Times New Roman" w:hAnsi="Times New Roman" w:cs="Times New Roman"/>
          <w:i/>
          <w:iCs/>
          <w:sz w:val="24"/>
          <w:szCs w:val="24"/>
        </w:rPr>
        <w:t>Journal of Indiana University Student Personnel Association</w:t>
      </w:r>
      <w:r w:rsidRPr="00D360E2">
        <w:rPr>
          <w:rFonts w:ascii="Times New Roman" w:eastAsia="Times New Roman" w:hAnsi="Times New Roman" w:cs="Times New Roman"/>
          <w:sz w:val="24"/>
          <w:szCs w:val="24"/>
        </w:rPr>
        <w:t xml:space="preserve">, </w:t>
      </w:r>
      <w:r w:rsidRPr="00D360E2">
        <w:rPr>
          <w:rFonts w:ascii="Times New Roman" w:eastAsia="Times New Roman" w:hAnsi="Times New Roman" w:cs="Times New Roman"/>
          <w:i/>
          <w:iCs/>
          <w:sz w:val="24"/>
          <w:szCs w:val="24"/>
        </w:rPr>
        <w:t>12</w:t>
      </w:r>
      <w:r w:rsidRPr="00D360E2">
        <w:rPr>
          <w:rFonts w:ascii="Times New Roman" w:eastAsia="Times New Roman" w:hAnsi="Times New Roman" w:cs="Times New Roman"/>
          <w:sz w:val="24"/>
          <w:szCs w:val="24"/>
        </w:rPr>
        <w:t>, 1–15.</w:t>
      </w:r>
    </w:p>
    <w:p w14:paraId="47D535D9" w14:textId="1E4E2E45" w:rsidR="00264709" w:rsidRDefault="00264709" w:rsidP="006F6F92">
      <w:pPr>
        <w:spacing w:line="480" w:lineRule="auto"/>
        <w:ind w:left="720" w:hanging="720"/>
        <w:rPr>
          <w:rFonts w:ascii="Times New Roman" w:eastAsia="Times New Roman" w:hAnsi="Times New Roman" w:cs="Times New Roman"/>
          <w:sz w:val="24"/>
          <w:szCs w:val="24"/>
        </w:rPr>
      </w:pPr>
      <w:r w:rsidRPr="00264709">
        <w:rPr>
          <w:rFonts w:ascii="Times New Roman" w:eastAsia="Times New Roman" w:hAnsi="Times New Roman" w:cs="Times New Roman"/>
          <w:sz w:val="24"/>
          <w:szCs w:val="24"/>
        </w:rPr>
        <w:t>GreatSchools. (2025). Career and technical student organizations: Extending employment preparation beyond the classroom. https://www.greatschools.org/gk/parenting/college-and-career/ctsos/</w:t>
      </w:r>
    </w:p>
    <w:p w14:paraId="486F2B4A" w14:textId="339720E1" w:rsidR="00D360E2" w:rsidRPr="00D360E2" w:rsidRDefault="00D360E2" w:rsidP="006F6F92">
      <w:pPr>
        <w:spacing w:line="480" w:lineRule="auto"/>
        <w:ind w:left="720" w:hanging="720"/>
        <w:rPr>
          <w:rFonts w:ascii="Times New Roman" w:eastAsia="Times New Roman" w:hAnsi="Times New Roman" w:cs="Times New Roman"/>
          <w:sz w:val="24"/>
          <w:szCs w:val="24"/>
          <w:lang w:val="en-US"/>
        </w:rPr>
      </w:pPr>
      <w:r w:rsidRPr="00D360E2">
        <w:rPr>
          <w:rFonts w:ascii="Times New Roman" w:eastAsia="Times New Roman" w:hAnsi="Times New Roman" w:cs="Times New Roman"/>
          <w:sz w:val="24"/>
          <w:szCs w:val="24"/>
        </w:rPr>
        <w:t>Haynes, B. (2021). The relationship of Career and Technical Student Organizations to college and career readiness (Doctoral dissertation, Gardner–Webb University). Gardner–Webb University Digital Commons.</w:t>
      </w:r>
    </w:p>
    <w:p w14:paraId="454A3B19" w14:textId="44AE2A0C" w:rsidR="00313550" w:rsidRPr="00D360E2" w:rsidRDefault="006A102E" w:rsidP="006F6F92">
      <w:pPr>
        <w:spacing w:line="480" w:lineRule="auto"/>
        <w:ind w:left="720" w:hanging="720"/>
        <w:rPr>
          <w:rFonts w:ascii="Times New Roman" w:eastAsia="Times New Roman" w:hAnsi="Times New Roman" w:cs="Times New Roman"/>
          <w:sz w:val="24"/>
          <w:szCs w:val="24"/>
          <w:lang w:val="en-US"/>
        </w:rPr>
      </w:pPr>
      <w:r w:rsidRPr="006A102E">
        <w:rPr>
          <w:rFonts w:ascii="Times New Roman" w:eastAsia="Times New Roman" w:hAnsi="Times New Roman" w:cs="Times New Roman"/>
          <w:sz w:val="24"/>
          <w:szCs w:val="24"/>
          <w:lang w:val="en-US"/>
        </w:rPr>
        <w:t xml:space="preserve">Lewis, K., &amp; Bates, L. (2018, December). </w:t>
      </w:r>
      <w:r w:rsidRPr="006A102E">
        <w:rPr>
          <w:rFonts w:ascii="Times New Roman" w:eastAsia="Times New Roman" w:hAnsi="Times New Roman" w:cs="Times New Roman"/>
          <w:i/>
          <w:iCs/>
          <w:sz w:val="24"/>
          <w:szCs w:val="24"/>
          <w:lang w:val="en-US"/>
        </w:rPr>
        <w:t>Shifting the current school climate: Sense of belonging and social and emotional learning</w:t>
      </w:r>
      <w:r w:rsidRPr="006A102E">
        <w:rPr>
          <w:rFonts w:ascii="Times New Roman" w:eastAsia="Times New Roman" w:hAnsi="Times New Roman" w:cs="Times New Roman"/>
          <w:sz w:val="24"/>
          <w:szCs w:val="24"/>
          <w:lang w:val="en-US"/>
        </w:rPr>
        <w:t xml:space="preserve"> [Fact sheet]. U.S. Department of Education, Institute of Education Sciences, Regional Educational Laboratory Northwest. https://ies.ed.gov/use-work/resource-library/resource/fact-sheetinfographicfaq/shifting-current-school-climate-sense-belonging-and-social-and-emotional-learning </w:t>
      </w:r>
    </w:p>
    <w:p w14:paraId="60314718" w14:textId="1B3F1862" w:rsidR="006F6F92" w:rsidRDefault="006F6F92" w:rsidP="006F6F92">
      <w:pPr>
        <w:spacing w:line="480" w:lineRule="auto"/>
        <w:ind w:left="720" w:hanging="810"/>
        <w:rPr>
          <w:rFonts w:ascii="Times New Roman" w:eastAsia="Times New Roman" w:hAnsi="Times New Roman" w:cs="Times New Roman"/>
          <w:sz w:val="24"/>
          <w:szCs w:val="24"/>
          <w:lang w:val="en-US"/>
        </w:rPr>
      </w:pPr>
      <w:r w:rsidRPr="006F6F92">
        <w:rPr>
          <w:rFonts w:ascii="Times New Roman" w:eastAsia="Times New Roman" w:hAnsi="Times New Roman" w:cs="Times New Roman"/>
          <w:sz w:val="24"/>
          <w:szCs w:val="24"/>
        </w:rPr>
        <w:t>Lincoln, Y. S., &amp; Guba, E. G. (1985). </w:t>
      </w:r>
      <w:r w:rsidRPr="006F6F92">
        <w:rPr>
          <w:rFonts w:ascii="Times New Roman" w:eastAsia="Times New Roman" w:hAnsi="Times New Roman" w:cs="Times New Roman"/>
          <w:i/>
          <w:iCs/>
          <w:sz w:val="24"/>
          <w:szCs w:val="24"/>
        </w:rPr>
        <w:t>Naturalistic inquiry</w:t>
      </w:r>
      <w:r w:rsidRPr="006F6F92">
        <w:rPr>
          <w:rFonts w:ascii="Times New Roman" w:eastAsia="Times New Roman" w:hAnsi="Times New Roman" w:cs="Times New Roman"/>
          <w:sz w:val="24"/>
          <w:szCs w:val="24"/>
        </w:rPr>
        <w:t>. Sage Publications. </w:t>
      </w:r>
    </w:p>
    <w:p w14:paraId="0FA97C11" w14:textId="4271B1DA" w:rsidR="006A102E" w:rsidRPr="00D360E2" w:rsidRDefault="006A102E" w:rsidP="006F6F92">
      <w:pPr>
        <w:spacing w:line="480" w:lineRule="auto"/>
        <w:ind w:left="720" w:hanging="810"/>
        <w:rPr>
          <w:rFonts w:ascii="Times New Roman" w:eastAsia="Times New Roman" w:hAnsi="Times New Roman" w:cs="Times New Roman"/>
          <w:i/>
          <w:iCs/>
          <w:sz w:val="24"/>
          <w:szCs w:val="24"/>
          <w:lang w:val="en-US"/>
        </w:rPr>
      </w:pPr>
      <w:proofErr w:type="spellStart"/>
      <w:r w:rsidRPr="00D360E2">
        <w:rPr>
          <w:rFonts w:ascii="Times New Roman" w:eastAsia="Times New Roman" w:hAnsi="Times New Roman" w:cs="Times New Roman"/>
          <w:sz w:val="24"/>
          <w:szCs w:val="24"/>
          <w:lang w:val="en-US"/>
        </w:rPr>
        <w:t>Magnera</w:t>
      </w:r>
      <w:proofErr w:type="spellEnd"/>
      <w:r w:rsidRPr="00D360E2">
        <w:rPr>
          <w:rFonts w:ascii="Times New Roman" w:eastAsia="Times New Roman" w:hAnsi="Times New Roman" w:cs="Times New Roman"/>
          <w:sz w:val="24"/>
          <w:szCs w:val="24"/>
          <w:lang w:val="en-US"/>
        </w:rPr>
        <w:t xml:space="preserve">, </w:t>
      </w:r>
      <w:r w:rsidR="00500239" w:rsidRPr="00D360E2">
        <w:rPr>
          <w:rFonts w:ascii="Times New Roman" w:eastAsia="Times New Roman" w:hAnsi="Times New Roman" w:cs="Times New Roman"/>
          <w:sz w:val="24"/>
          <w:szCs w:val="24"/>
          <w:lang w:val="en-US"/>
        </w:rPr>
        <w:t>M.J.</w:t>
      </w:r>
      <w:r w:rsidR="00D360E2">
        <w:rPr>
          <w:rFonts w:ascii="Times New Roman" w:eastAsia="Times New Roman" w:hAnsi="Times New Roman" w:cs="Times New Roman"/>
          <w:sz w:val="24"/>
          <w:szCs w:val="24"/>
          <w:lang w:val="en-US"/>
        </w:rPr>
        <w:t xml:space="preserve"> </w:t>
      </w:r>
      <w:r w:rsidRPr="006A102E">
        <w:rPr>
          <w:rFonts w:ascii="Times New Roman" w:eastAsia="Times New Roman" w:hAnsi="Times New Roman" w:cs="Times New Roman"/>
          <w:sz w:val="24"/>
          <w:szCs w:val="24"/>
          <w:lang w:val="en-US"/>
        </w:rPr>
        <w:t>(</w:t>
      </w:r>
      <w:r w:rsidRPr="00D360E2">
        <w:rPr>
          <w:rFonts w:ascii="Times New Roman" w:eastAsia="Times New Roman" w:hAnsi="Times New Roman" w:cs="Times New Roman"/>
          <w:sz w:val="24"/>
          <w:szCs w:val="24"/>
          <w:lang w:val="en-US"/>
        </w:rPr>
        <w:t>2024</w:t>
      </w:r>
      <w:r w:rsidRPr="006A102E">
        <w:rPr>
          <w:rFonts w:ascii="Times New Roman" w:eastAsia="Times New Roman" w:hAnsi="Times New Roman" w:cs="Times New Roman"/>
          <w:sz w:val="24"/>
          <w:szCs w:val="24"/>
          <w:lang w:val="en-US"/>
        </w:rPr>
        <w:t xml:space="preserve">). </w:t>
      </w:r>
      <w:r w:rsidRPr="00D360E2">
        <w:rPr>
          <w:rFonts w:ascii="Times New Roman" w:eastAsia="Times New Roman" w:hAnsi="Times New Roman" w:cs="Times New Roman"/>
          <w:i/>
          <w:iCs/>
          <w:sz w:val="24"/>
          <w:szCs w:val="24"/>
          <w:lang w:val="en-US"/>
        </w:rPr>
        <w:t xml:space="preserve">Influencing student participation in career technical student organizations: A transformational leadership approach. [Doctoral dissertation, </w:t>
      </w:r>
      <w:r w:rsidR="00313550" w:rsidRPr="00D360E2">
        <w:rPr>
          <w:rFonts w:ascii="Times New Roman" w:eastAsia="Times New Roman" w:hAnsi="Times New Roman" w:cs="Times New Roman"/>
          <w:i/>
          <w:iCs/>
          <w:sz w:val="24"/>
          <w:szCs w:val="24"/>
          <w:lang w:val="en-US"/>
        </w:rPr>
        <w:t>University LaVerne]. 2024.315555885.</w:t>
      </w:r>
    </w:p>
    <w:p w14:paraId="0928B854" w14:textId="77777777" w:rsidR="00D360E2" w:rsidRPr="00D360E2" w:rsidRDefault="00D360E2" w:rsidP="006F6F92">
      <w:pPr>
        <w:spacing w:line="480" w:lineRule="auto"/>
        <w:ind w:left="720" w:hanging="810"/>
        <w:rPr>
          <w:rFonts w:ascii="Times New Roman" w:eastAsia="Times New Roman" w:hAnsi="Times New Roman" w:cs="Times New Roman"/>
          <w:sz w:val="24"/>
          <w:szCs w:val="24"/>
          <w:lang w:val="en-US"/>
        </w:rPr>
      </w:pPr>
      <w:r w:rsidRPr="00D360E2">
        <w:rPr>
          <w:rFonts w:ascii="Times New Roman" w:eastAsia="Times New Roman" w:hAnsi="Times New Roman" w:cs="Times New Roman"/>
          <w:sz w:val="24"/>
          <w:szCs w:val="24"/>
          <w:lang w:val="en-US"/>
        </w:rPr>
        <w:t>Marshall, D. K. (2024). Perceived influence of Career and Technical Student Organizations on academic connection (Doctoral dissertation, University of New England). DUNE: DigitalUNE.</w:t>
      </w:r>
    </w:p>
    <w:p w14:paraId="7A3435FE" w14:textId="5A78D055" w:rsidR="00D360E2" w:rsidRPr="00D360E2" w:rsidRDefault="00D360E2" w:rsidP="006F6F92">
      <w:pPr>
        <w:spacing w:line="480" w:lineRule="auto"/>
        <w:ind w:left="720" w:hanging="810"/>
        <w:rPr>
          <w:rFonts w:ascii="Times New Roman" w:eastAsia="Times New Roman" w:hAnsi="Times New Roman" w:cs="Times New Roman"/>
          <w:sz w:val="24"/>
          <w:szCs w:val="24"/>
          <w:lang w:val="en-US"/>
        </w:rPr>
      </w:pPr>
      <w:r w:rsidRPr="00D360E2">
        <w:rPr>
          <w:rFonts w:ascii="Times New Roman" w:eastAsia="Times New Roman" w:hAnsi="Times New Roman" w:cs="Times New Roman"/>
          <w:sz w:val="24"/>
          <w:szCs w:val="24"/>
          <w:lang w:val="en-US"/>
        </w:rPr>
        <w:t xml:space="preserve">McMillan, D. W. (1996). Sense of community. </w:t>
      </w:r>
      <w:r w:rsidRPr="00D360E2">
        <w:rPr>
          <w:rFonts w:ascii="Times New Roman" w:eastAsia="Times New Roman" w:hAnsi="Times New Roman" w:cs="Times New Roman"/>
          <w:i/>
          <w:iCs/>
          <w:sz w:val="24"/>
          <w:szCs w:val="24"/>
          <w:lang w:val="en-US"/>
        </w:rPr>
        <w:t>Journal of Community Psychology</w:t>
      </w:r>
      <w:r w:rsidRPr="00D360E2">
        <w:rPr>
          <w:rFonts w:ascii="Times New Roman" w:eastAsia="Times New Roman" w:hAnsi="Times New Roman" w:cs="Times New Roman"/>
          <w:sz w:val="24"/>
          <w:szCs w:val="24"/>
          <w:lang w:val="en-US"/>
        </w:rPr>
        <w:t xml:space="preserve">, </w:t>
      </w:r>
      <w:r w:rsidRPr="00D360E2">
        <w:rPr>
          <w:rFonts w:ascii="Times New Roman" w:eastAsia="Times New Roman" w:hAnsi="Times New Roman" w:cs="Times New Roman"/>
          <w:i/>
          <w:iCs/>
          <w:sz w:val="24"/>
          <w:szCs w:val="24"/>
          <w:lang w:val="en-US"/>
        </w:rPr>
        <w:t>24</w:t>
      </w:r>
      <w:r w:rsidRPr="00D360E2">
        <w:rPr>
          <w:rFonts w:ascii="Times New Roman" w:eastAsia="Times New Roman" w:hAnsi="Times New Roman" w:cs="Times New Roman"/>
          <w:sz w:val="24"/>
          <w:szCs w:val="24"/>
          <w:lang w:val="en-US"/>
        </w:rPr>
        <w:t>(4), 315–325. https://doi.org/10.1002/(SICI)1520-6629(199610)24:4</w:t>
      </w:r>
    </w:p>
    <w:p w14:paraId="6B63FBC4" w14:textId="4D3DBBCA" w:rsidR="00D360E2" w:rsidRPr="00D360E2" w:rsidRDefault="00D360E2" w:rsidP="006F6F92">
      <w:pPr>
        <w:spacing w:line="480" w:lineRule="auto"/>
        <w:ind w:left="720" w:hanging="810"/>
        <w:rPr>
          <w:rFonts w:ascii="Times New Roman" w:eastAsia="Times New Roman" w:hAnsi="Times New Roman" w:cs="Times New Roman"/>
          <w:sz w:val="24"/>
          <w:szCs w:val="24"/>
          <w:lang w:val="en-US"/>
        </w:rPr>
      </w:pPr>
      <w:r w:rsidRPr="00D360E2">
        <w:rPr>
          <w:rFonts w:ascii="Times New Roman" w:eastAsia="Times New Roman" w:hAnsi="Times New Roman" w:cs="Times New Roman"/>
          <w:sz w:val="24"/>
          <w:szCs w:val="24"/>
          <w:lang w:val="en-US"/>
        </w:rPr>
        <w:t xml:space="preserve">McMillan, D. W., &amp; Chavis, D. M. (1986). Sense of community: A definition and theory. </w:t>
      </w:r>
      <w:r w:rsidRPr="00D360E2">
        <w:rPr>
          <w:rFonts w:ascii="Times New Roman" w:eastAsia="Times New Roman" w:hAnsi="Times New Roman" w:cs="Times New Roman"/>
          <w:i/>
          <w:iCs/>
          <w:sz w:val="24"/>
          <w:szCs w:val="24"/>
          <w:lang w:val="en-US"/>
        </w:rPr>
        <w:t>Journal of Community Psychology</w:t>
      </w:r>
      <w:r w:rsidRPr="00D360E2">
        <w:rPr>
          <w:rFonts w:ascii="Times New Roman" w:eastAsia="Times New Roman" w:hAnsi="Times New Roman" w:cs="Times New Roman"/>
          <w:sz w:val="24"/>
          <w:szCs w:val="24"/>
          <w:lang w:val="en-US"/>
        </w:rPr>
        <w:t xml:space="preserve">, </w:t>
      </w:r>
      <w:r w:rsidRPr="00D360E2">
        <w:rPr>
          <w:rFonts w:ascii="Times New Roman" w:eastAsia="Times New Roman" w:hAnsi="Times New Roman" w:cs="Times New Roman"/>
          <w:i/>
          <w:iCs/>
          <w:sz w:val="24"/>
          <w:szCs w:val="24"/>
          <w:lang w:val="en-US"/>
        </w:rPr>
        <w:t>14</w:t>
      </w:r>
      <w:r w:rsidRPr="00D360E2">
        <w:rPr>
          <w:rFonts w:ascii="Times New Roman" w:eastAsia="Times New Roman" w:hAnsi="Times New Roman" w:cs="Times New Roman"/>
          <w:sz w:val="24"/>
          <w:szCs w:val="24"/>
          <w:lang w:val="en-US"/>
        </w:rPr>
        <w:t>(1), 6–23. https://doi.org/10.1002/1520-6629(198601)14:1</w:t>
      </w:r>
    </w:p>
    <w:p w14:paraId="11D4674C" w14:textId="186DF431" w:rsidR="00313550" w:rsidRPr="00D360E2" w:rsidRDefault="00313550" w:rsidP="006F6F92">
      <w:pPr>
        <w:spacing w:line="480" w:lineRule="auto"/>
        <w:ind w:left="720" w:hanging="810"/>
        <w:rPr>
          <w:rFonts w:ascii="Times New Roman" w:eastAsia="Times New Roman" w:hAnsi="Times New Roman" w:cs="Times New Roman"/>
          <w:sz w:val="24"/>
          <w:szCs w:val="24"/>
          <w:lang w:val="en-US"/>
        </w:rPr>
      </w:pPr>
      <w:r w:rsidRPr="00D360E2">
        <w:rPr>
          <w:rFonts w:ascii="Times New Roman" w:eastAsia="Times New Roman" w:hAnsi="Times New Roman" w:cs="Times New Roman"/>
          <w:sz w:val="24"/>
          <w:szCs w:val="24"/>
          <w:lang w:val="en-US"/>
        </w:rPr>
        <w:t xml:space="preserve">McNally, K.M., Harvey, </w:t>
      </w:r>
      <w:r w:rsidR="00500239" w:rsidRPr="00D360E2">
        <w:rPr>
          <w:rFonts w:ascii="Times New Roman" w:eastAsia="Times New Roman" w:hAnsi="Times New Roman" w:cs="Times New Roman"/>
          <w:sz w:val="24"/>
          <w:szCs w:val="24"/>
          <w:lang w:val="en-US"/>
        </w:rPr>
        <w:t>M.W.</w:t>
      </w:r>
      <w:r w:rsidRPr="00D360E2">
        <w:rPr>
          <w:rFonts w:ascii="Times New Roman" w:eastAsia="Times New Roman" w:hAnsi="Times New Roman" w:cs="Times New Roman"/>
          <w:sz w:val="24"/>
          <w:szCs w:val="24"/>
          <w:lang w:val="en-US"/>
        </w:rPr>
        <w:t xml:space="preserve"> (2001). </w:t>
      </w:r>
      <w:r w:rsidRPr="00D360E2">
        <w:rPr>
          <w:rFonts w:ascii="Times New Roman" w:eastAsia="Times New Roman" w:hAnsi="Times New Roman" w:cs="Times New Roman"/>
          <w:i/>
          <w:iCs/>
          <w:sz w:val="24"/>
          <w:szCs w:val="24"/>
          <w:lang w:val="en-US"/>
        </w:rPr>
        <w:t xml:space="preserve">Career and technical student organizations: A perfect path to self-determination and successful transition. </w:t>
      </w:r>
      <w:r w:rsidRPr="00D360E2">
        <w:rPr>
          <w:rFonts w:ascii="Times New Roman" w:eastAsia="Times New Roman" w:hAnsi="Times New Roman" w:cs="Times New Roman"/>
          <w:sz w:val="24"/>
          <w:szCs w:val="24"/>
          <w:lang w:val="en-US"/>
        </w:rPr>
        <w:t>Preventing School Failure, 45(3), p. 114-118</w:t>
      </w:r>
      <w:r w:rsidR="00D360E2" w:rsidRPr="00D360E2">
        <w:rPr>
          <w:rFonts w:ascii="Times New Roman" w:eastAsia="Times New Roman" w:hAnsi="Times New Roman" w:cs="Times New Roman"/>
          <w:sz w:val="24"/>
          <w:szCs w:val="24"/>
          <w:lang w:val="en-US"/>
        </w:rPr>
        <w:t>.</w:t>
      </w:r>
      <w:r w:rsidR="00362C99">
        <w:rPr>
          <w:rFonts w:ascii="Times New Roman" w:eastAsia="Times New Roman" w:hAnsi="Times New Roman" w:cs="Times New Roman"/>
          <w:sz w:val="24"/>
          <w:szCs w:val="24"/>
          <w:lang w:val="en-US"/>
        </w:rPr>
        <w:t xml:space="preserve"> https://doi.org/10.1080/10459880109603325</w:t>
      </w:r>
    </w:p>
    <w:p w14:paraId="383B9933" w14:textId="5A56A438" w:rsidR="007E2C49" w:rsidRDefault="007E2C49" w:rsidP="006F6F92">
      <w:pPr>
        <w:spacing w:line="480" w:lineRule="auto"/>
        <w:ind w:left="720" w:hanging="810"/>
        <w:rPr>
          <w:rFonts w:ascii="Times New Roman" w:eastAsia="Times New Roman" w:hAnsi="Times New Roman" w:cs="Times New Roman"/>
          <w:sz w:val="24"/>
          <w:szCs w:val="24"/>
        </w:rPr>
      </w:pPr>
      <w:r w:rsidRPr="007E2C49">
        <w:rPr>
          <w:rFonts w:ascii="Times New Roman" w:eastAsia="Times New Roman" w:hAnsi="Times New Roman" w:cs="Times New Roman"/>
          <w:sz w:val="24"/>
          <w:szCs w:val="24"/>
        </w:rPr>
        <w:t xml:space="preserve">National Center for Construction Education and Research. (2025). </w:t>
      </w:r>
      <w:proofErr w:type="gramStart"/>
      <w:r w:rsidRPr="007E2C49">
        <w:rPr>
          <w:rFonts w:ascii="Times New Roman" w:eastAsia="Times New Roman" w:hAnsi="Times New Roman" w:cs="Times New Roman"/>
          <w:i/>
          <w:iCs/>
          <w:sz w:val="24"/>
          <w:szCs w:val="24"/>
        </w:rPr>
        <w:t>4</w:t>
      </w:r>
      <w:proofErr w:type="gramEnd"/>
      <w:r w:rsidRPr="007E2C49">
        <w:rPr>
          <w:rFonts w:ascii="Times New Roman" w:eastAsia="Times New Roman" w:hAnsi="Times New Roman" w:cs="Times New Roman"/>
          <w:i/>
          <w:iCs/>
          <w:sz w:val="24"/>
          <w:szCs w:val="24"/>
        </w:rPr>
        <w:t xml:space="preserve"> stats that show the exploding demand for career and technical education</w:t>
      </w:r>
      <w:r w:rsidRPr="007E2C4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7E2C49">
        <w:rPr>
          <w:rFonts w:ascii="Times New Roman" w:eastAsia="Times New Roman" w:hAnsi="Times New Roman" w:cs="Times New Roman"/>
          <w:sz w:val="24"/>
          <w:szCs w:val="24"/>
        </w:rPr>
        <w:t>https://www.nccer.org/newsroom/4-stats-that-show-the-exploding-demand-for-career-and-technical-education/</w:t>
      </w:r>
    </w:p>
    <w:p w14:paraId="5FF3FE69" w14:textId="620A17B0" w:rsidR="00264709" w:rsidRDefault="00264709" w:rsidP="006F6F92">
      <w:pPr>
        <w:spacing w:line="480" w:lineRule="auto"/>
        <w:ind w:left="720" w:hanging="810"/>
        <w:rPr>
          <w:rFonts w:ascii="Times New Roman" w:eastAsia="Times New Roman" w:hAnsi="Times New Roman" w:cs="Times New Roman"/>
          <w:sz w:val="24"/>
          <w:szCs w:val="24"/>
          <w:lang w:val="en-US"/>
        </w:rPr>
      </w:pPr>
      <w:r w:rsidRPr="00264709">
        <w:rPr>
          <w:rFonts w:ascii="Times New Roman" w:eastAsia="Times New Roman" w:hAnsi="Times New Roman" w:cs="Times New Roman"/>
          <w:sz w:val="24"/>
          <w:szCs w:val="24"/>
        </w:rPr>
        <w:t xml:space="preserve">National Coordinating Council for Career and Technical Student Organizations. (2024). About CTSOs. </w:t>
      </w:r>
      <w:r w:rsidR="00362C99" w:rsidRPr="00362C99">
        <w:rPr>
          <w:rFonts w:ascii="Times New Roman" w:eastAsia="Times New Roman" w:hAnsi="Times New Roman" w:cs="Times New Roman"/>
          <w:sz w:val="24"/>
          <w:szCs w:val="24"/>
        </w:rPr>
        <w:t>https://www.ctsos.org/</w:t>
      </w:r>
    </w:p>
    <w:p w14:paraId="05CD1A99" w14:textId="6A6FD966" w:rsidR="00D360E2" w:rsidRPr="00D360E2" w:rsidRDefault="00D360E2" w:rsidP="006F6F92">
      <w:pPr>
        <w:spacing w:line="480" w:lineRule="auto"/>
        <w:ind w:left="720" w:hanging="810"/>
        <w:rPr>
          <w:rFonts w:ascii="Times New Roman" w:eastAsia="Times New Roman" w:hAnsi="Times New Roman" w:cs="Times New Roman"/>
          <w:sz w:val="24"/>
          <w:szCs w:val="24"/>
          <w:lang w:val="en-US"/>
        </w:rPr>
      </w:pPr>
      <w:r w:rsidRPr="00D360E2">
        <w:rPr>
          <w:rFonts w:ascii="Times New Roman" w:eastAsia="Times New Roman" w:hAnsi="Times New Roman" w:cs="Times New Roman"/>
          <w:sz w:val="24"/>
          <w:szCs w:val="24"/>
          <w:lang w:val="en-US"/>
        </w:rPr>
        <w:t xml:space="preserve">National Research Center for Career and Technical Education. (2005). </w:t>
      </w:r>
      <w:r w:rsidRPr="00362C99">
        <w:rPr>
          <w:rFonts w:ascii="Times New Roman" w:eastAsia="Times New Roman" w:hAnsi="Times New Roman" w:cs="Times New Roman"/>
          <w:i/>
          <w:iCs/>
          <w:sz w:val="24"/>
          <w:szCs w:val="24"/>
          <w:lang w:val="en-US"/>
        </w:rPr>
        <w:t>Looking inside the black box: The value added by Career and Technical Student Organizations to students’ high school experience.</w:t>
      </w:r>
      <w:r w:rsidRPr="00D360E2">
        <w:rPr>
          <w:rFonts w:ascii="Times New Roman" w:eastAsia="Times New Roman" w:hAnsi="Times New Roman" w:cs="Times New Roman"/>
          <w:sz w:val="24"/>
          <w:szCs w:val="24"/>
          <w:lang w:val="en-US"/>
        </w:rPr>
        <w:t xml:space="preserve"> University of Minnesota.</w:t>
      </w:r>
    </w:p>
    <w:p w14:paraId="32224A0A" w14:textId="0BE69EEA" w:rsidR="00921908" w:rsidRPr="00921908" w:rsidRDefault="00921908" w:rsidP="00921908">
      <w:pPr>
        <w:spacing w:line="480" w:lineRule="auto"/>
        <w:ind w:left="720" w:hanging="810"/>
        <w:rPr>
          <w:rFonts w:eastAsia="Times New Roman"/>
          <w:i/>
          <w:iCs/>
          <w:lang w:val="en-US"/>
        </w:rPr>
      </w:pPr>
      <w:r w:rsidRPr="00921908">
        <w:rPr>
          <w:rFonts w:ascii="Times New Roman" w:eastAsia="Times New Roman" w:hAnsi="Times New Roman" w:cs="Times New Roman"/>
          <w:sz w:val="24"/>
          <w:szCs w:val="24"/>
          <w:lang w:val="en-US"/>
        </w:rPr>
        <w:t xml:space="preserve">Oklahoma Department of Career and Technology Education. (2024). </w:t>
      </w:r>
      <w:r w:rsidRPr="00921908">
        <w:rPr>
          <w:rFonts w:ascii="Times New Roman" w:eastAsia="Times New Roman" w:hAnsi="Times New Roman" w:cs="Times New Roman"/>
          <w:i/>
          <w:iCs/>
          <w:sz w:val="24"/>
          <w:szCs w:val="24"/>
          <w:lang w:val="en-US"/>
        </w:rPr>
        <w:t>More Oklahoma students than ever are CTSO members.</w:t>
      </w:r>
      <w:r>
        <w:rPr>
          <w:rFonts w:ascii="Times New Roman" w:eastAsia="Times New Roman" w:hAnsi="Times New Roman" w:cs="Times New Roman"/>
          <w:i/>
          <w:iCs/>
          <w:sz w:val="24"/>
          <w:szCs w:val="24"/>
          <w:lang w:val="en-US"/>
        </w:rPr>
        <w:t xml:space="preserve"> </w:t>
      </w:r>
      <w:r w:rsidRPr="00921908">
        <w:rPr>
          <w:rFonts w:ascii="Times New Roman" w:eastAsia="Times New Roman" w:hAnsi="Times New Roman" w:cs="Times New Roman"/>
          <w:sz w:val="24"/>
          <w:szCs w:val="24"/>
          <w:lang w:val="en-US"/>
        </w:rPr>
        <w:t>https://oklahoma.gov/careertech/media-center/press-releases/2024/more-oklahoma-students-than-ever-are-ctso-members.html</w:t>
      </w:r>
    </w:p>
    <w:p w14:paraId="10636C00" w14:textId="4657D20E" w:rsidR="00362C99" w:rsidRDefault="00362C99" w:rsidP="006F6F92">
      <w:pPr>
        <w:spacing w:line="480" w:lineRule="auto"/>
        <w:ind w:left="720" w:hanging="810"/>
        <w:rPr>
          <w:rFonts w:ascii="Times New Roman" w:eastAsia="Times New Roman" w:hAnsi="Times New Roman" w:cs="Times New Roman"/>
          <w:sz w:val="24"/>
          <w:szCs w:val="24"/>
        </w:rPr>
      </w:pPr>
      <w:r w:rsidRPr="00362C99">
        <w:rPr>
          <w:rFonts w:ascii="Times New Roman" w:eastAsia="Times New Roman" w:hAnsi="Times New Roman" w:cs="Times New Roman"/>
          <w:sz w:val="24"/>
          <w:szCs w:val="24"/>
        </w:rPr>
        <w:t xml:space="preserve">Perry, J. D., </w:t>
      </w:r>
      <w:proofErr w:type="spellStart"/>
      <w:r w:rsidRPr="00362C99">
        <w:rPr>
          <w:rFonts w:ascii="Times New Roman" w:eastAsia="Times New Roman" w:hAnsi="Times New Roman" w:cs="Times New Roman"/>
          <w:sz w:val="24"/>
          <w:szCs w:val="24"/>
        </w:rPr>
        <w:t>Sauncy</w:t>
      </w:r>
      <w:proofErr w:type="spellEnd"/>
      <w:r w:rsidRPr="00362C99">
        <w:rPr>
          <w:rFonts w:ascii="Times New Roman" w:eastAsia="Times New Roman" w:hAnsi="Times New Roman" w:cs="Times New Roman"/>
          <w:sz w:val="24"/>
          <w:szCs w:val="24"/>
        </w:rPr>
        <w:t xml:space="preserve">, T., White, S., Ivie, R. L., Tyler, J., &amp; </w:t>
      </w:r>
      <w:proofErr w:type="spellStart"/>
      <w:r w:rsidRPr="00362C99">
        <w:rPr>
          <w:rFonts w:ascii="Times New Roman" w:eastAsia="Times New Roman" w:hAnsi="Times New Roman" w:cs="Times New Roman"/>
          <w:sz w:val="24"/>
          <w:szCs w:val="24"/>
        </w:rPr>
        <w:t>Erukhimova</w:t>
      </w:r>
      <w:proofErr w:type="spellEnd"/>
      <w:r w:rsidRPr="00362C99">
        <w:rPr>
          <w:rFonts w:ascii="Times New Roman" w:eastAsia="Times New Roman" w:hAnsi="Times New Roman" w:cs="Times New Roman"/>
          <w:sz w:val="24"/>
          <w:szCs w:val="24"/>
        </w:rPr>
        <w:t xml:space="preserve">, T. (2025). </w:t>
      </w:r>
      <w:r w:rsidRPr="00362C99">
        <w:rPr>
          <w:rFonts w:ascii="Times New Roman" w:eastAsia="Times New Roman" w:hAnsi="Times New Roman" w:cs="Times New Roman"/>
          <w:i/>
          <w:iCs/>
          <w:sz w:val="24"/>
          <w:szCs w:val="24"/>
        </w:rPr>
        <w:t>Impact of outreach on physics student development: Quantitative results from a national survey</w:t>
      </w:r>
      <w:r w:rsidRPr="00362C99">
        <w:rPr>
          <w:rFonts w:ascii="Times New Roman" w:eastAsia="Times New Roman" w:hAnsi="Times New Roman" w:cs="Times New Roman"/>
          <w:sz w:val="24"/>
          <w:szCs w:val="24"/>
        </w:rPr>
        <w:t xml:space="preserve">. </w:t>
      </w:r>
      <w:r w:rsidRPr="00362C99">
        <w:rPr>
          <w:rFonts w:ascii="Times New Roman" w:eastAsia="Times New Roman" w:hAnsi="Times New Roman" w:cs="Times New Roman"/>
          <w:i/>
          <w:iCs/>
          <w:sz w:val="24"/>
          <w:szCs w:val="24"/>
        </w:rPr>
        <w:t>Physical Review Physics Education Research, 21</w:t>
      </w:r>
      <w:r w:rsidRPr="00362C99">
        <w:rPr>
          <w:rFonts w:ascii="Times New Roman" w:eastAsia="Times New Roman" w:hAnsi="Times New Roman" w:cs="Times New Roman"/>
          <w:sz w:val="24"/>
          <w:szCs w:val="24"/>
        </w:rPr>
        <w:t xml:space="preserve">(2), 020152. </w:t>
      </w:r>
      <w:r>
        <w:rPr>
          <w:rFonts w:ascii="Times New Roman" w:eastAsia="Times New Roman" w:hAnsi="Times New Roman" w:cs="Times New Roman"/>
          <w:sz w:val="24"/>
          <w:szCs w:val="24"/>
        </w:rPr>
        <w:t>https://doi.org/10/1103/mj85-87vk</w:t>
      </w:r>
    </w:p>
    <w:p w14:paraId="6557CBD9" w14:textId="05CFCFCC" w:rsidR="00362C99" w:rsidRDefault="00362C99" w:rsidP="006F6F92">
      <w:pPr>
        <w:spacing w:line="480" w:lineRule="auto"/>
        <w:ind w:left="720" w:hanging="810"/>
        <w:rPr>
          <w:rFonts w:ascii="Times New Roman" w:eastAsia="Times New Roman" w:hAnsi="Times New Roman" w:cs="Times New Roman"/>
          <w:sz w:val="24"/>
          <w:szCs w:val="24"/>
        </w:rPr>
      </w:pPr>
      <w:r w:rsidRPr="00362C99">
        <w:rPr>
          <w:rFonts w:ascii="Times New Roman" w:eastAsia="Times New Roman" w:hAnsi="Times New Roman" w:cs="Times New Roman"/>
          <w:sz w:val="24"/>
          <w:szCs w:val="24"/>
        </w:rPr>
        <w:t xml:space="preserve">Rosenberg, J. L., </w:t>
      </w:r>
      <w:proofErr w:type="spellStart"/>
      <w:r w:rsidRPr="00362C99">
        <w:rPr>
          <w:rFonts w:ascii="Times New Roman" w:eastAsia="Times New Roman" w:hAnsi="Times New Roman" w:cs="Times New Roman"/>
          <w:sz w:val="24"/>
          <w:szCs w:val="24"/>
        </w:rPr>
        <w:t>Holincheck</w:t>
      </w:r>
      <w:proofErr w:type="spellEnd"/>
      <w:r w:rsidRPr="00362C99">
        <w:rPr>
          <w:rFonts w:ascii="Times New Roman" w:eastAsia="Times New Roman" w:hAnsi="Times New Roman" w:cs="Times New Roman"/>
          <w:sz w:val="24"/>
          <w:szCs w:val="24"/>
        </w:rPr>
        <w:t xml:space="preserve">, N., Fernández, K., Dreyfus, B. W., </w:t>
      </w:r>
      <w:proofErr w:type="spellStart"/>
      <w:r w:rsidRPr="00362C99">
        <w:rPr>
          <w:rFonts w:ascii="Times New Roman" w:eastAsia="Times New Roman" w:hAnsi="Times New Roman" w:cs="Times New Roman"/>
          <w:sz w:val="24"/>
          <w:szCs w:val="24"/>
        </w:rPr>
        <w:t>Wardere</w:t>
      </w:r>
      <w:proofErr w:type="spellEnd"/>
      <w:r w:rsidRPr="00362C99">
        <w:rPr>
          <w:rFonts w:ascii="Times New Roman" w:eastAsia="Times New Roman" w:hAnsi="Times New Roman" w:cs="Times New Roman"/>
          <w:sz w:val="24"/>
          <w:szCs w:val="24"/>
        </w:rPr>
        <w:t xml:space="preserve">, F., Stehle, S., &amp; Butler, T. N. (2024). </w:t>
      </w:r>
      <w:r w:rsidRPr="00362C99">
        <w:rPr>
          <w:rFonts w:ascii="Times New Roman" w:eastAsia="Times New Roman" w:hAnsi="Times New Roman" w:cs="Times New Roman"/>
          <w:i/>
          <w:iCs/>
          <w:sz w:val="24"/>
          <w:szCs w:val="24"/>
        </w:rPr>
        <w:t>Role of mentorship, career conceptualization, and leadership in developing women’s physics identity and belonging</w:t>
      </w:r>
      <w:r w:rsidRPr="00362C99">
        <w:rPr>
          <w:rFonts w:ascii="Times New Roman" w:eastAsia="Times New Roman" w:hAnsi="Times New Roman" w:cs="Times New Roman"/>
          <w:sz w:val="24"/>
          <w:szCs w:val="24"/>
        </w:rPr>
        <w:t xml:space="preserve">. </w:t>
      </w:r>
      <w:r w:rsidRPr="00362C99">
        <w:rPr>
          <w:rFonts w:ascii="Times New Roman" w:eastAsia="Times New Roman" w:hAnsi="Times New Roman" w:cs="Times New Roman"/>
          <w:i/>
          <w:iCs/>
          <w:sz w:val="24"/>
          <w:szCs w:val="24"/>
        </w:rPr>
        <w:t>Physical Review Physics Education Research, 20</w:t>
      </w:r>
      <w:r w:rsidRPr="00362C99">
        <w:rPr>
          <w:rFonts w:ascii="Times New Roman" w:eastAsia="Times New Roman" w:hAnsi="Times New Roman" w:cs="Times New Roman"/>
          <w:sz w:val="24"/>
          <w:szCs w:val="24"/>
        </w:rPr>
        <w:t xml:space="preserve">(1), 010114. </w:t>
      </w:r>
      <w:r>
        <w:rPr>
          <w:rFonts w:ascii="Times New Roman" w:eastAsia="Times New Roman" w:hAnsi="Times New Roman" w:cs="Times New Roman"/>
          <w:sz w:val="24"/>
          <w:szCs w:val="24"/>
        </w:rPr>
        <w:t>https://doi.org/10.1103/PhysRevPhysEducRes.20.010114</w:t>
      </w:r>
    </w:p>
    <w:p w14:paraId="3EDBD921" w14:textId="1AD480A4" w:rsidR="001E552F" w:rsidRDefault="001E552F" w:rsidP="006F6F92">
      <w:pPr>
        <w:spacing w:line="480" w:lineRule="auto"/>
        <w:ind w:left="720" w:hanging="810"/>
        <w:rPr>
          <w:rFonts w:ascii="Times New Roman" w:eastAsia="Times New Roman" w:hAnsi="Times New Roman" w:cs="Times New Roman"/>
          <w:sz w:val="24"/>
          <w:szCs w:val="24"/>
          <w:lang w:val="en-US"/>
        </w:rPr>
      </w:pPr>
      <w:r w:rsidRPr="001E552F">
        <w:rPr>
          <w:rFonts w:ascii="Times New Roman" w:eastAsia="Times New Roman" w:hAnsi="Times New Roman" w:cs="Times New Roman"/>
          <w:sz w:val="24"/>
          <w:szCs w:val="24"/>
        </w:rPr>
        <w:t>Swinehart Held, K. A. (2023). </w:t>
      </w:r>
      <w:r w:rsidRPr="001E552F">
        <w:rPr>
          <w:rFonts w:ascii="Times New Roman" w:eastAsia="Times New Roman" w:hAnsi="Times New Roman" w:cs="Times New Roman"/>
          <w:i/>
          <w:iCs/>
          <w:sz w:val="24"/>
          <w:szCs w:val="24"/>
        </w:rPr>
        <w:t>School-Based Agricultural Education Student Perceptions of their Motivation through the lens of Situated Expectancy-Value Theory</w:t>
      </w:r>
      <w:r w:rsidRPr="001E552F">
        <w:rPr>
          <w:rFonts w:ascii="Times New Roman" w:eastAsia="Times New Roman" w:hAnsi="Times New Roman" w:cs="Times New Roman"/>
          <w:sz w:val="24"/>
          <w:szCs w:val="24"/>
        </w:rPr>
        <w:t> [Doctoral dissertation, Ohio State University]. OhioLINK Electronic Theses and Dissertations Center. http://rave.ohiolink.edu/etdc/view?acc_num=osu1688608131058971</w:t>
      </w:r>
    </w:p>
    <w:p w14:paraId="28820BB7" w14:textId="54B56CEF" w:rsidR="00D360E2" w:rsidRPr="00D360E2" w:rsidRDefault="00D360E2" w:rsidP="006F6F92">
      <w:pPr>
        <w:spacing w:line="480" w:lineRule="auto"/>
        <w:ind w:left="720" w:hanging="810"/>
        <w:rPr>
          <w:rFonts w:ascii="Times New Roman" w:eastAsia="Times New Roman" w:hAnsi="Times New Roman" w:cs="Times New Roman"/>
          <w:sz w:val="24"/>
          <w:szCs w:val="24"/>
          <w:lang w:val="en-US"/>
        </w:rPr>
      </w:pPr>
      <w:r w:rsidRPr="00D360E2">
        <w:rPr>
          <w:rFonts w:ascii="Times New Roman" w:eastAsia="Times New Roman" w:hAnsi="Times New Roman" w:cs="Times New Roman"/>
          <w:sz w:val="24"/>
          <w:szCs w:val="24"/>
          <w:lang w:val="en-US"/>
        </w:rPr>
        <w:t xml:space="preserve">Taylor, J. S. (2006). Student perceptions of selected Technology Student Association activities. </w:t>
      </w:r>
      <w:r w:rsidRPr="00D360E2">
        <w:rPr>
          <w:rFonts w:ascii="Times New Roman" w:eastAsia="Times New Roman" w:hAnsi="Times New Roman" w:cs="Times New Roman"/>
          <w:i/>
          <w:iCs/>
          <w:sz w:val="24"/>
          <w:szCs w:val="24"/>
          <w:lang w:val="en-US"/>
        </w:rPr>
        <w:t>Journal of Technology Education</w:t>
      </w:r>
      <w:r w:rsidRPr="00D360E2">
        <w:rPr>
          <w:rFonts w:ascii="Times New Roman" w:eastAsia="Times New Roman" w:hAnsi="Times New Roman" w:cs="Times New Roman"/>
          <w:sz w:val="24"/>
          <w:szCs w:val="24"/>
          <w:lang w:val="en-US"/>
        </w:rPr>
        <w:t xml:space="preserve">, </w:t>
      </w:r>
      <w:r w:rsidRPr="00D360E2">
        <w:rPr>
          <w:rFonts w:ascii="Times New Roman" w:eastAsia="Times New Roman" w:hAnsi="Times New Roman" w:cs="Times New Roman"/>
          <w:i/>
          <w:iCs/>
          <w:sz w:val="24"/>
          <w:szCs w:val="24"/>
          <w:lang w:val="en-US"/>
        </w:rPr>
        <w:t>17</w:t>
      </w:r>
      <w:r w:rsidRPr="00D360E2">
        <w:rPr>
          <w:rFonts w:ascii="Times New Roman" w:eastAsia="Times New Roman" w:hAnsi="Times New Roman" w:cs="Times New Roman"/>
          <w:sz w:val="24"/>
          <w:szCs w:val="24"/>
          <w:lang w:val="en-US"/>
        </w:rPr>
        <w:t>(2), 34–48.</w:t>
      </w:r>
      <w:r w:rsidR="00362C99">
        <w:rPr>
          <w:rFonts w:ascii="Times New Roman" w:eastAsia="Times New Roman" w:hAnsi="Times New Roman" w:cs="Times New Roman"/>
          <w:sz w:val="24"/>
          <w:szCs w:val="24"/>
          <w:lang w:val="en-US"/>
        </w:rPr>
        <w:t xml:space="preserve"> https://doi.org/10.21061/jte.v17i2/a/5</w:t>
      </w:r>
    </w:p>
    <w:p w14:paraId="1C1281D7" w14:textId="22816E7F" w:rsidR="00D360E2" w:rsidRPr="006A102E" w:rsidRDefault="00D360E2" w:rsidP="006F6F92">
      <w:pPr>
        <w:spacing w:line="480" w:lineRule="auto"/>
        <w:ind w:left="720" w:hanging="810"/>
        <w:rPr>
          <w:rFonts w:ascii="Times New Roman" w:eastAsia="Times New Roman" w:hAnsi="Times New Roman" w:cs="Times New Roman"/>
          <w:sz w:val="24"/>
          <w:szCs w:val="24"/>
          <w:lang w:val="en-US"/>
        </w:rPr>
      </w:pPr>
      <w:r w:rsidRPr="00D360E2">
        <w:rPr>
          <w:rFonts w:ascii="Times New Roman" w:eastAsia="Times New Roman" w:hAnsi="Times New Roman" w:cs="Times New Roman"/>
          <w:sz w:val="24"/>
          <w:szCs w:val="24"/>
          <w:lang w:val="en-US"/>
        </w:rPr>
        <w:t xml:space="preserve">Threeton, M. D., &amp; Pellock, C. (2009). An examination of the relationship between SkillsUSA contest preparation and academics. </w:t>
      </w:r>
      <w:r w:rsidRPr="00D360E2">
        <w:rPr>
          <w:rFonts w:ascii="Times New Roman" w:eastAsia="Times New Roman" w:hAnsi="Times New Roman" w:cs="Times New Roman"/>
          <w:i/>
          <w:iCs/>
          <w:sz w:val="24"/>
          <w:szCs w:val="24"/>
          <w:lang w:val="en-US"/>
        </w:rPr>
        <w:t>Journal of Career and Technical Education</w:t>
      </w:r>
      <w:r w:rsidRPr="00D360E2">
        <w:rPr>
          <w:rFonts w:ascii="Times New Roman" w:eastAsia="Times New Roman" w:hAnsi="Times New Roman" w:cs="Times New Roman"/>
          <w:sz w:val="24"/>
          <w:szCs w:val="24"/>
          <w:lang w:val="en-US"/>
        </w:rPr>
        <w:t xml:space="preserve">, </w:t>
      </w:r>
      <w:r w:rsidRPr="00D360E2">
        <w:rPr>
          <w:rFonts w:ascii="Times New Roman" w:eastAsia="Times New Roman" w:hAnsi="Times New Roman" w:cs="Times New Roman"/>
          <w:i/>
          <w:iCs/>
          <w:sz w:val="24"/>
          <w:szCs w:val="24"/>
          <w:lang w:val="en-US"/>
        </w:rPr>
        <w:t>25</w:t>
      </w:r>
      <w:r w:rsidRPr="00D360E2">
        <w:rPr>
          <w:rFonts w:ascii="Times New Roman" w:eastAsia="Times New Roman" w:hAnsi="Times New Roman" w:cs="Times New Roman"/>
          <w:sz w:val="24"/>
          <w:szCs w:val="24"/>
          <w:lang w:val="en-US"/>
        </w:rPr>
        <w:t>(2), 3–16.</w:t>
      </w:r>
      <w:r w:rsidR="00362C99">
        <w:rPr>
          <w:rFonts w:ascii="Times New Roman" w:eastAsia="Times New Roman" w:hAnsi="Times New Roman" w:cs="Times New Roman"/>
          <w:sz w:val="24"/>
          <w:szCs w:val="24"/>
          <w:lang w:val="en-US"/>
        </w:rPr>
        <w:t xml:space="preserve"> https://doi.org/10.21061/jctve.v25i2.481</w:t>
      </w:r>
      <w:bookmarkEnd w:id="2"/>
    </w:p>
    <w:sectPr w:rsidR="00D360E2" w:rsidRPr="006A102E">
      <w:foot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943CB" w14:textId="77777777" w:rsidR="00AA6015" w:rsidRDefault="00AA6015">
      <w:pPr>
        <w:spacing w:line="240" w:lineRule="auto"/>
      </w:pPr>
      <w:r>
        <w:separator/>
      </w:r>
    </w:p>
  </w:endnote>
  <w:endnote w:type="continuationSeparator" w:id="0">
    <w:p w14:paraId="1A11A94F" w14:textId="77777777" w:rsidR="00AA6015" w:rsidRDefault="00AA60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37AE18F-49A5-4CC8-99B0-E1081B3FECF4}"/>
  </w:font>
  <w:font w:name="Cambria">
    <w:panose1 w:val="02040503050406030204"/>
    <w:charset w:val="00"/>
    <w:family w:val="roman"/>
    <w:pitch w:val="variable"/>
    <w:sig w:usb0="E00006FF" w:usb1="420024FF" w:usb2="02000000" w:usb3="00000000" w:csb0="0000019F" w:csb1="00000000"/>
    <w:embedRegular r:id="rId2" w:fontKey="{4B8EB875-3280-4807-BABC-363AE10ADCB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26385" w14:textId="77777777" w:rsidR="007F5B3F" w:rsidRDefault="00000000">
    <w:pPr>
      <w:jc w:val="center"/>
    </w:pPr>
    <w:r>
      <w:fldChar w:fldCharType="begin"/>
    </w:r>
    <w:r>
      <w:instrText>PAGE</w:instrText>
    </w:r>
    <w:r>
      <w:fldChar w:fldCharType="separate"/>
    </w:r>
    <w:r w:rsidR="00297F23">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940FD" w14:textId="77777777" w:rsidR="00AA6015" w:rsidRDefault="00AA6015">
      <w:pPr>
        <w:spacing w:line="240" w:lineRule="auto"/>
      </w:pPr>
      <w:r>
        <w:separator/>
      </w:r>
    </w:p>
  </w:footnote>
  <w:footnote w:type="continuationSeparator" w:id="0">
    <w:p w14:paraId="03071F5E" w14:textId="77777777" w:rsidR="00AA6015" w:rsidRDefault="00AA601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BC1E55"/>
    <w:multiLevelType w:val="multilevel"/>
    <w:tmpl w:val="D8DC05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C6A53D7"/>
    <w:multiLevelType w:val="multilevel"/>
    <w:tmpl w:val="38B498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3D428E8"/>
    <w:multiLevelType w:val="multilevel"/>
    <w:tmpl w:val="1BE808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4F5118D"/>
    <w:multiLevelType w:val="multilevel"/>
    <w:tmpl w:val="263076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F456C00"/>
    <w:multiLevelType w:val="multilevel"/>
    <w:tmpl w:val="01D0E8A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237905762">
    <w:abstractNumId w:val="1"/>
  </w:num>
  <w:num w:numId="2" w16cid:durableId="1454329916">
    <w:abstractNumId w:val="0"/>
  </w:num>
  <w:num w:numId="3" w16cid:durableId="779494552">
    <w:abstractNumId w:val="3"/>
  </w:num>
  <w:num w:numId="4" w16cid:durableId="471868631">
    <w:abstractNumId w:val="4"/>
  </w:num>
  <w:num w:numId="5" w16cid:durableId="18791967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B3F"/>
    <w:rsid w:val="00002A57"/>
    <w:rsid w:val="001E552F"/>
    <w:rsid w:val="00240809"/>
    <w:rsid w:val="00264709"/>
    <w:rsid w:val="00297EFE"/>
    <w:rsid w:val="00297F23"/>
    <w:rsid w:val="00313550"/>
    <w:rsid w:val="00362C99"/>
    <w:rsid w:val="00472238"/>
    <w:rsid w:val="004759DD"/>
    <w:rsid w:val="00500239"/>
    <w:rsid w:val="00557603"/>
    <w:rsid w:val="00572877"/>
    <w:rsid w:val="006520D5"/>
    <w:rsid w:val="006A102E"/>
    <w:rsid w:val="006F6F92"/>
    <w:rsid w:val="007D671F"/>
    <w:rsid w:val="007E2C49"/>
    <w:rsid w:val="007F08C3"/>
    <w:rsid w:val="007F5B3F"/>
    <w:rsid w:val="008A6DAB"/>
    <w:rsid w:val="00921908"/>
    <w:rsid w:val="0097617C"/>
    <w:rsid w:val="00AA6015"/>
    <w:rsid w:val="00AE2A5B"/>
    <w:rsid w:val="00AE5B10"/>
    <w:rsid w:val="00BF2A1F"/>
    <w:rsid w:val="00C52FF9"/>
    <w:rsid w:val="00C9249A"/>
    <w:rsid w:val="00D21D05"/>
    <w:rsid w:val="00D360E2"/>
    <w:rsid w:val="00DF4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93B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paragraph" w:styleId="Header">
    <w:name w:val="header"/>
    <w:basedOn w:val="Normal"/>
    <w:link w:val="HeaderChar"/>
    <w:uiPriority w:val="99"/>
    <w:unhideWhenUsed/>
    <w:rsid w:val="007F08C3"/>
    <w:pPr>
      <w:tabs>
        <w:tab w:val="center" w:pos="4680"/>
        <w:tab w:val="right" w:pos="9360"/>
      </w:tabs>
      <w:spacing w:line="240" w:lineRule="auto"/>
    </w:pPr>
  </w:style>
  <w:style w:type="character" w:customStyle="1" w:styleId="HeaderChar">
    <w:name w:val="Header Char"/>
    <w:basedOn w:val="DefaultParagraphFont"/>
    <w:link w:val="Header"/>
    <w:uiPriority w:val="99"/>
    <w:rsid w:val="007F08C3"/>
  </w:style>
  <w:style w:type="paragraph" w:styleId="Footer">
    <w:name w:val="footer"/>
    <w:basedOn w:val="Normal"/>
    <w:link w:val="FooterChar"/>
    <w:uiPriority w:val="99"/>
    <w:unhideWhenUsed/>
    <w:rsid w:val="007F08C3"/>
    <w:pPr>
      <w:tabs>
        <w:tab w:val="center" w:pos="4680"/>
        <w:tab w:val="right" w:pos="9360"/>
      </w:tabs>
      <w:spacing w:line="240" w:lineRule="auto"/>
    </w:pPr>
  </w:style>
  <w:style w:type="character" w:customStyle="1" w:styleId="FooterChar">
    <w:name w:val="Footer Char"/>
    <w:basedOn w:val="DefaultParagraphFont"/>
    <w:link w:val="Footer"/>
    <w:uiPriority w:val="99"/>
    <w:rsid w:val="007F08C3"/>
  </w:style>
  <w:style w:type="character" w:styleId="Hyperlink">
    <w:name w:val="Hyperlink"/>
    <w:basedOn w:val="DefaultParagraphFont"/>
    <w:uiPriority w:val="99"/>
    <w:unhideWhenUsed/>
    <w:rsid w:val="006A102E"/>
    <w:rPr>
      <w:color w:val="0000FF" w:themeColor="hyperlink"/>
      <w:u w:val="single"/>
    </w:rPr>
  </w:style>
  <w:style w:type="character" w:styleId="UnresolvedMention">
    <w:name w:val="Unresolved Mention"/>
    <w:basedOn w:val="DefaultParagraphFont"/>
    <w:uiPriority w:val="99"/>
    <w:semiHidden/>
    <w:unhideWhenUsed/>
    <w:rsid w:val="006A102E"/>
    <w:rPr>
      <w:color w:val="605E5C"/>
      <w:shd w:val="clear" w:color="auto" w:fill="E1DFDD"/>
    </w:rPr>
  </w:style>
  <w:style w:type="character" w:styleId="FollowedHyperlink">
    <w:name w:val="FollowedHyperlink"/>
    <w:basedOn w:val="DefaultParagraphFont"/>
    <w:uiPriority w:val="99"/>
    <w:semiHidden/>
    <w:unhideWhenUsed/>
    <w:rsid w:val="006A102E"/>
    <w:rPr>
      <w:color w:val="800080" w:themeColor="followedHyperlink"/>
      <w:u w:val="single"/>
    </w:rPr>
  </w:style>
  <w:style w:type="paragraph" w:styleId="NormalWeb">
    <w:name w:val="Normal (Web)"/>
    <w:basedOn w:val="Normal"/>
    <w:uiPriority w:val="99"/>
    <w:semiHidden/>
    <w:unhideWhenUsed/>
    <w:rsid w:val="00AE2A5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46310">
      <w:bodyDiv w:val="1"/>
      <w:marLeft w:val="0"/>
      <w:marRight w:val="0"/>
      <w:marTop w:val="0"/>
      <w:marBottom w:val="0"/>
      <w:divBdr>
        <w:top w:val="none" w:sz="0" w:space="0" w:color="auto"/>
        <w:left w:val="none" w:sz="0" w:space="0" w:color="auto"/>
        <w:bottom w:val="none" w:sz="0" w:space="0" w:color="auto"/>
        <w:right w:val="none" w:sz="0" w:space="0" w:color="auto"/>
      </w:divBdr>
    </w:div>
    <w:div w:id="96679385">
      <w:bodyDiv w:val="1"/>
      <w:marLeft w:val="0"/>
      <w:marRight w:val="0"/>
      <w:marTop w:val="0"/>
      <w:marBottom w:val="0"/>
      <w:divBdr>
        <w:top w:val="none" w:sz="0" w:space="0" w:color="auto"/>
        <w:left w:val="none" w:sz="0" w:space="0" w:color="auto"/>
        <w:bottom w:val="none" w:sz="0" w:space="0" w:color="auto"/>
        <w:right w:val="none" w:sz="0" w:space="0" w:color="auto"/>
      </w:divBdr>
    </w:div>
    <w:div w:id="187569539">
      <w:bodyDiv w:val="1"/>
      <w:marLeft w:val="0"/>
      <w:marRight w:val="0"/>
      <w:marTop w:val="0"/>
      <w:marBottom w:val="0"/>
      <w:divBdr>
        <w:top w:val="none" w:sz="0" w:space="0" w:color="auto"/>
        <w:left w:val="none" w:sz="0" w:space="0" w:color="auto"/>
        <w:bottom w:val="none" w:sz="0" w:space="0" w:color="auto"/>
        <w:right w:val="none" w:sz="0" w:space="0" w:color="auto"/>
      </w:divBdr>
    </w:div>
    <w:div w:id="343047826">
      <w:bodyDiv w:val="1"/>
      <w:marLeft w:val="0"/>
      <w:marRight w:val="0"/>
      <w:marTop w:val="0"/>
      <w:marBottom w:val="0"/>
      <w:divBdr>
        <w:top w:val="none" w:sz="0" w:space="0" w:color="auto"/>
        <w:left w:val="none" w:sz="0" w:space="0" w:color="auto"/>
        <w:bottom w:val="none" w:sz="0" w:space="0" w:color="auto"/>
        <w:right w:val="none" w:sz="0" w:space="0" w:color="auto"/>
      </w:divBdr>
    </w:div>
    <w:div w:id="518205748">
      <w:bodyDiv w:val="1"/>
      <w:marLeft w:val="0"/>
      <w:marRight w:val="0"/>
      <w:marTop w:val="0"/>
      <w:marBottom w:val="0"/>
      <w:divBdr>
        <w:top w:val="none" w:sz="0" w:space="0" w:color="auto"/>
        <w:left w:val="none" w:sz="0" w:space="0" w:color="auto"/>
        <w:bottom w:val="none" w:sz="0" w:space="0" w:color="auto"/>
        <w:right w:val="none" w:sz="0" w:space="0" w:color="auto"/>
      </w:divBdr>
    </w:div>
    <w:div w:id="533231479">
      <w:bodyDiv w:val="1"/>
      <w:marLeft w:val="0"/>
      <w:marRight w:val="0"/>
      <w:marTop w:val="0"/>
      <w:marBottom w:val="0"/>
      <w:divBdr>
        <w:top w:val="none" w:sz="0" w:space="0" w:color="auto"/>
        <w:left w:val="none" w:sz="0" w:space="0" w:color="auto"/>
        <w:bottom w:val="none" w:sz="0" w:space="0" w:color="auto"/>
        <w:right w:val="none" w:sz="0" w:space="0" w:color="auto"/>
      </w:divBdr>
    </w:div>
    <w:div w:id="831019718">
      <w:bodyDiv w:val="1"/>
      <w:marLeft w:val="0"/>
      <w:marRight w:val="0"/>
      <w:marTop w:val="0"/>
      <w:marBottom w:val="0"/>
      <w:divBdr>
        <w:top w:val="none" w:sz="0" w:space="0" w:color="auto"/>
        <w:left w:val="none" w:sz="0" w:space="0" w:color="auto"/>
        <w:bottom w:val="none" w:sz="0" w:space="0" w:color="auto"/>
        <w:right w:val="none" w:sz="0" w:space="0" w:color="auto"/>
      </w:divBdr>
    </w:div>
    <w:div w:id="938563841">
      <w:bodyDiv w:val="1"/>
      <w:marLeft w:val="0"/>
      <w:marRight w:val="0"/>
      <w:marTop w:val="0"/>
      <w:marBottom w:val="0"/>
      <w:divBdr>
        <w:top w:val="none" w:sz="0" w:space="0" w:color="auto"/>
        <w:left w:val="none" w:sz="0" w:space="0" w:color="auto"/>
        <w:bottom w:val="none" w:sz="0" w:space="0" w:color="auto"/>
        <w:right w:val="none" w:sz="0" w:space="0" w:color="auto"/>
      </w:divBdr>
    </w:div>
    <w:div w:id="1020739417">
      <w:bodyDiv w:val="1"/>
      <w:marLeft w:val="0"/>
      <w:marRight w:val="0"/>
      <w:marTop w:val="0"/>
      <w:marBottom w:val="0"/>
      <w:divBdr>
        <w:top w:val="none" w:sz="0" w:space="0" w:color="auto"/>
        <w:left w:val="none" w:sz="0" w:space="0" w:color="auto"/>
        <w:bottom w:val="none" w:sz="0" w:space="0" w:color="auto"/>
        <w:right w:val="none" w:sz="0" w:space="0" w:color="auto"/>
      </w:divBdr>
    </w:div>
    <w:div w:id="1023164514">
      <w:bodyDiv w:val="1"/>
      <w:marLeft w:val="0"/>
      <w:marRight w:val="0"/>
      <w:marTop w:val="0"/>
      <w:marBottom w:val="0"/>
      <w:divBdr>
        <w:top w:val="none" w:sz="0" w:space="0" w:color="auto"/>
        <w:left w:val="none" w:sz="0" w:space="0" w:color="auto"/>
        <w:bottom w:val="none" w:sz="0" w:space="0" w:color="auto"/>
        <w:right w:val="none" w:sz="0" w:space="0" w:color="auto"/>
      </w:divBdr>
    </w:div>
    <w:div w:id="1070149719">
      <w:bodyDiv w:val="1"/>
      <w:marLeft w:val="0"/>
      <w:marRight w:val="0"/>
      <w:marTop w:val="0"/>
      <w:marBottom w:val="0"/>
      <w:divBdr>
        <w:top w:val="none" w:sz="0" w:space="0" w:color="auto"/>
        <w:left w:val="none" w:sz="0" w:space="0" w:color="auto"/>
        <w:bottom w:val="none" w:sz="0" w:space="0" w:color="auto"/>
        <w:right w:val="none" w:sz="0" w:space="0" w:color="auto"/>
      </w:divBdr>
    </w:div>
    <w:div w:id="1089303242">
      <w:bodyDiv w:val="1"/>
      <w:marLeft w:val="0"/>
      <w:marRight w:val="0"/>
      <w:marTop w:val="0"/>
      <w:marBottom w:val="0"/>
      <w:divBdr>
        <w:top w:val="none" w:sz="0" w:space="0" w:color="auto"/>
        <w:left w:val="none" w:sz="0" w:space="0" w:color="auto"/>
        <w:bottom w:val="none" w:sz="0" w:space="0" w:color="auto"/>
        <w:right w:val="none" w:sz="0" w:space="0" w:color="auto"/>
      </w:divBdr>
    </w:div>
    <w:div w:id="1105148229">
      <w:bodyDiv w:val="1"/>
      <w:marLeft w:val="0"/>
      <w:marRight w:val="0"/>
      <w:marTop w:val="0"/>
      <w:marBottom w:val="0"/>
      <w:divBdr>
        <w:top w:val="none" w:sz="0" w:space="0" w:color="auto"/>
        <w:left w:val="none" w:sz="0" w:space="0" w:color="auto"/>
        <w:bottom w:val="none" w:sz="0" w:space="0" w:color="auto"/>
        <w:right w:val="none" w:sz="0" w:space="0" w:color="auto"/>
      </w:divBdr>
    </w:div>
    <w:div w:id="1233663310">
      <w:bodyDiv w:val="1"/>
      <w:marLeft w:val="0"/>
      <w:marRight w:val="0"/>
      <w:marTop w:val="0"/>
      <w:marBottom w:val="0"/>
      <w:divBdr>
        <w:top w:val="none" w:sz="0" w:space="0" w:color="auto"/>
        <w:left w:val="none" w:sz="0" w:space="0" w:color="auto"/>
        <w:bottom w:val="none" w:sz="0" w:space="0" w:color="auto"/>
        <w:right w:val="none" w:sz="0" w:space="0" w:color="auto"/>
      </w:divBdr>
    </w:div>
    <w:div w:id="1302270880">
      <w:bodyDiv w:val="1"/>
      <w:marLeft w:val="0"/>
      <w:marRight w:val="0"/>
      <w:marTop w:val="0"/>
      <w:marBottom w:val="0"/>
      <w:divBdr>
        <w:top w:val="none" w:sz="0" w:space="0" w:color="auto"/>
        <w:left w:val="none" w:sz="0" w:space="0" w:color="auto"/>
        <w:bottom w:val="none" w:sz="0" w:space="0" w:color="auto"/>
        <w:right w:val="none" w:sz="0" w:space="0" w:color="auto"/>
      </w:divBdr>
    </w:div>
    <w:div w:id="1434590827">
      <w:bodyDiv w:val="1"/>
      <w:marLeft w:val="0"/>
      <w:marRight w:val="0"/>
      <w:marTop w:val="0"/>
      <w:marBottom w:val="0"/>
      <w:divBdr>
        <w:top w:val="none" w:sz="0" w:space="0" w:color="auto"/>
        <w:left w:val="none" w:sz="0" w:space="0" w:color="auto"/>
        <w:bottom w:val="none" w:sz="0" w:space="0" w:color="auto"/>
        <w:right w:val="none" w:sz="0" w:space="0" w:color="auto"/>
      </w:divBdr>
    </w:div>
    <w:div w:id="1526675539">
      <w:bodyDiv w:val="1"/>
      <w:marLeft w:val="0"/>
      <w:marRight w:val="0"/>
      <w:marTop w:val="0"/>
      <w:marBottom w:val="0"/>
      <w:divBdr>
        <w:top w:val="none" w:sz="0" w:space="0" w:color="auto"/>
        <w:left w:val="none" w:sz="0" w:space="0" w:color="auto"/>
        <w:bottom w:val="none" w:sz="0" w:space="0" w:color="auto"/>
        <w:right w:val="none" w:sz="0" w:space="0" w:color="auto"/>
      </w:divBdr>
    </w:div>
    <w:div w:id="1584601849">
      <w:bodyDiv w:val="1"/>
      <w:marLeft w:val="0"/>
      <w:marRight w:val="0"/>
      <w:marTop w:val="0"/>
      <w:marBottom w:val="0"/>
      <w:divBdr>
        <w:top w:val="none" w:sz="0" w:space="0" w:color="auto"/>
        <w:left w:val="none" w:sz="0" w:space="0" w:color="auto"/>
        <w:bottom w:val="none" w:sz="0" w:space="0" w:color="auto"/>
        <w:right w:val="none" w:sz="0" w:space="0" w:color="auto"/>
      </w:divBdr>
    </w:div>
    <w:div w:id="1637222849">
      <w:bodyDiv w:val="1"/>
      <w:marLeft w:val="0"/>
      <w:marRight w:val="0"/>
      <w:marTop w:val="0"/>
      <w:marBottom w:val="0"/>
      <w:divBdr>
        <w:top w:val="none" w:sz="0" w:space="0" w:color="auto"/>
        <w:left w:val="none" w:sz="0" w:space="0" w:color="auto"/>
        <w:bottom w:val="none" w:sz="0" w:space="0" w:color="auto"/>
        <w:right w:val="none" w:sz="0" w:space="0" w:color="auto"/>
      </w:divBdr>
    </w:div>
    <w:div w:id="1731731276">
      <w:bodyDiv w:val="1"/>
      <w:marLeft w:val="0"/>
      <w:marRight w:val="0"/>
      <w:marTop w:val="0"/>
      <w:marBottom w:val="0"/>
      <w:divBdr>
        <w:top w:val="none" w:sz="0" w:space="0" w:color="auto"/>
        <w:left w:val="none" w:sz="0" w:space="0" w:color="auto"/>
        <w:bottom w:val="none" w:sz="0" w:space="0" w:color="auto"/>
        <w:right w:val="none" w:sz="0" w:space="0" w:color="auto"/>
      </w:divBdr>
    </w:div>
    <w:div w:id="1793938934">
      <w:bodyDiv w:val="1"/>
      <w:marLeft w:val="0"/>
      <w:marRight w:val="0"/>
      <w:marTop w:val="0"/>
      <w:marBottom w:val="0"/>
      <w:divBdr>
        <w:top w:val="none" w:sz="0" w:space="0" w:color="auto"/>
        <w:left w:val="none" w:sz="0" w:space="0" w:color="auto"/>
        <w:bottom w:val="none" w:sz="0" w:space="0" w:color="auto"/>
        <w:right w:val="none" w:sz="0" w:space="0" w:color="auto"/>
      </w:divBdr>
    </w:div>
    <w:div w:id="20114429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A0A11BA-8930-4AE2-A46D-384AF8BF3174}">
  <we:reference id="f518cb36-c901-4d52-a9e7-4331342e485d" version="1.4.0.0" store="EXCatalog" storeType="EXCatalog"/>
  <we:alternateReferences>
    <we:reference id="WA200001011" version="1.4.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1</Pages>
  <Words>5188</Words>
  <Characters>29572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2026-04-01T19:56:00Z</dcterms:created>
  <dcterms:modified xsi:type="dcterms:W3CDTF">2026-04-01T19:56:00Z</dcterms:modified>
</cp:coreProperties>
</file>