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7001F5" w14:textId="4C2A1D94" w:rsidR="00FA1B03" w:rsidRPr="000704FD" w:rsidRDefault="00296879" w:rsidP="000704FD">
      <w:pPr>
        <w:spacing w:line="240" w:lineRule="auto"/>
        <w:jc w:val="center"/>
        <w:rPr>
          <w:rFonts w:ascii="Times New Roman" w:hAnsi="Times New Roman" w:cs="Times New Roman"/>
          <w:b/>
          <w:bCs/>
        </w:rPr>
      </w:pPr>
      <w:r w:rsidRPr="000704FD">
        <w:rPr>
          <w:rFonts w:ascii="Times New Roman" w:hAnsi="Times New Roman" w:cs="Times New Roman"/>
          <w:b/>
          <w:bCs/>
        </w:rPr>
        <w:t xml:space="preserve">Giving Permission: Student </w:t>
      </w:r>
      <w:r w:rsidR="003E6DB8" w:rsidRPr="000704FD">
        <w:rPr>
          <w:rFonts w:ascii="Times New Roman" w:hAnsi="Times New Roman" w:cs="Times New Roman"/>
          <w:b/>
          <w:bCs/>
        </w:rPr>
        <w:t>Experiences with</w:t>
      </w:r>
      <w:r w:rsidR="009D5364" w:rsidRPr="000704FD">
        <w:rPr>
          <w:rFonts w:ascii="Times New Roman" w:hAnsi="Times New Roman" w:cs="Times New Roman"/>
          <w:b/>
          <w:bCs/>
        </w:rPr>
        <w:t xml:space="preserve"> AI Supported Learning, Metacognition, </w:t>
      </w:r>
      <w:r w:rsidRPr="000704FD">
        <w:rPr>
          <w:rFonts w:ascii="Times New Roman" w:hAnsi="Times New Roman" w:cs="Times New Roman"/>
          <w:b/>
          <w:bCs/>
        </w:rPr>
        <w:t>and Contextual Conditions within a Graduate Research Methods Course</w:t>
      </w:r>
    </w:p>
    <w:p w14:paraId="37C26BDE" w14:textId="728CC942" w:rsidR="00E70EA7" w:rsidRPr="000704FD" w:rsidRDefault="00E70EA7" w:rsidP="000704FD">
      <w:pPr>
        <w:spacing w:after="0" w:line="240" w:lineRule="auto"/>
        <w:jc w:val="center"/>
        <w:rPr>
          <w:rFonts w:ascii="Times New Roman" w:hAnsi="Times New Roman" w:cs="Times New Roman"/>
        </w:rPr>
      </w:pPr>
      <w:r w:rsidRPr="000704FD">
        <w:rPr>
          <w:rFonts w:ascii="Times New Roman" w:hAnsi="Times New Roman" w:cs="Times New Roman"/>
        </w:rPr>
        <w:t xml:space="preserve">Dr. Amanda M. Bowling, </w:t>
      </w:r>
      <w:proofErr w:type="gramStart"/>
      <w:r w:rsidRPr="000704FD">
        <w:rPr>
          <w:rFonts w:ascii="Times New Roman" w:hAnsi="Times New Roman" w:cs="Times New Roman"/>
        </w:rPr>
        <w:t>The Ohio</w:t>
      </w:r>
      <w:proofErr w:type="gramEnd"/>
      <w:r w:rsidRPr="000704FD">
        <w:rPr>
          <w:rFonts w:ascii="Times New Roman" w:hAnsi="Times New Roman" w:cs="Times New Roman"/>
        </w:rPr>
        <w:t xml:space="preserve"> State University</w:t>
      </w:r>
    </w:p>
    <w:p w14:paraId="2D17BEE5" w14:textId="1CCF8FB6" w:rsidR="00E70EA7" w:rsidRPr="000704FD" w:rsidRDefault="00E70EA7" w:rsidP="000704FD">
      <w:pPr>
        <w:spacing w:after="0" w:line="240" w:lineRule="auto"/>
        <w:jc w:val="center"/>
        <w:rPr>
          <w:rFonts w:ascii="Times New Roman" w:hAnsi="Times New Roman" w:cs="Times New Roman"/>
        </w:rPr>
      </w:pPr>
      <w:r w:rsidRPr="000704FD">
        <w:rPr>
          <w:rFonts w:ascii="Times New Roman" w:hAnsi="Times New Roman" w:cs="Times New Roman"/>
        </w:rPr>
        <w:t>Kenny Saephan, The Ohio State University</w:t>
      </w:r>
    </w:p>
    <w:p w14:paraId="657AAC28" w14:textId="77777777" w:rsidR="00E70EA7" w:rsidRPr="000704FD" w:rsidRDefault="00E70EA7" w:rsidP="000704FD">
      <w:pPr>
        <w:spacing w:after="0" w:line="240" w:lineRule="auto"/>
        <w:jc w:val="center"/>
        <w:rPr>
          <w:rFonts w:ascii="Times New Roman" w:hAnsi="Times New Roman" w:cs="Times New Roman"/>
        </w:rPr>
      </w:pPr>
    </w:p>
    <w:p w14:paraId="7E9D0D55" w14:textId="3EAD0FBF" w:rsidR="00FA1B03" w:rsidRPr="000704FD" w:rsidRDefault="007A4CDA" w:rsidP="000704FD">
      <w:pPr>
        <w:spacing w:line="240" w:lineRule="auto"/>
        <w:rPr>
          <w:rFonts w:ascii="Times New Roman" w:hAnsi="Times New Roman" w:cs="Times New Roman"/>
          <w:i/>
          <w:iCs/>
        </w:rPr>
      </w:pPr>
      <w:r w:rsidRPr="000704FD">
        <w:rPr>
          <w:rFonts w:ascii="Times New Roman" w:hAnsi="Times New Roman" w:cs="Times New Roman"/>
          <w:i/>
          <w:iCs/>
        </w:rPr>
        <w:t xml:space="preserve">Higher education, in particular </w:t>
      </w:r>
      <w:r w:rsidR="0076633F" w:rsidRPr="000704FD">
        <w:rPr>
          <w:rFonts w:ascii="Times New Roman" w:hAnsi="Times New Roman" w:cs="Times New Roman"/>
          <w:i/>
          <w:iCs/>
        </w:rPr>
        <w:t>graduate</w:t>
      </w:r>
      <w:r w:rsidRPr="000704FD">
        <w:rPr>
          <w:rFonts w:ascii="Times New Roman" w:hAnsi="Times New Roman" w:cs="Times New Roman"/>
          <w:i/>
          <w:iCs/>
        </w:rPr>
        <w:t xml:space="preserve"> education</w:t>
      </w:r>
      <w:r w:rsidR="00261873" w:rsidRPr="000704FD">
        <w:rPr>
          <w:rFonts w:ascii="Times New Roman" w:hAnsi="Times New Roman" w:cs="Times New Roman"/>
          <w:i/>
          <w:iCs/>
        </w:rPr>
        <w:t>,</w:t>
      </w:r>
      <w:r w:rsidRPr="000704FD">
        <w:rPr>
          <w:rFonts w:ascii="Times New Roman" w:hAnsi="Times New Roman" w:cs="Times New Roman"/>
          <w:i/>
          <w:iCs/>
        </w:rPr>
        <w:t xml:space="preserve"> </w:t>
      </w:r>
      <w:r w:rsidR="0076633F" w:rsidRPr="000704FD">
        <w:rPr>
          <w:rFonts w:ascii="Times New Roman" w:hAnsi="Times New Roman" w:cs="Times New Roman"/>
          <w:i/>
          <w:iCs/>
        </w:rPr>
        <w:t xml:space="preserve">is being reshaped with the introduction of artificial </w:t>
      </w:r>
      <w:r w:rsidR="00045876" w:rsidRPr="000704FD">
        <w:rPr>
          <w:rFonts w:ascii="Times New Roman" w:hAnsi="Times New Roman" w:cs="Times New Roman"/>
          <w:i/>
          <w:iCs/>
        </w:rPr>
        <w:t>intelligence</w:t>
      </w:r>
      <w:r w:rsidR="001B4C20" w:rsidRPr="000704FD">
        <w:rPr>
          <w:rFonts w:ascii="Times New Roman" w:hAnsi="Times New Roman" w:cs="Times New Roman"/>
          <w:i/>
          <w:iCs/>
        </w:rPr>
        <w:t xml:space="preserve"> (AI)</w:t>
      </w:r>
      <w:r w:rsidR="0076633F" w:rsidRPr="000704FD">
        <w:rPr>
          <w:rFonts w:ascii="Times New Roman" w:hAnsi="Times New Roman" w:cs="Times New Roman"/>
          <w:i/>
          <w:iCs/>
        </w:rPr>
        <w:t xml:space="preserve"> and </w:t>
      </w:r>
      <w:r w:rsidR="00045876" w:rsidRPr="000704FD">
        <w:rPr>
          <w:rFonts w:ascii="Times New Roman" w:hAnsi="Times New Roman" w:cs="Times New Roman"/>
          <w:i/>
          <w:iCs/>
        </w:rPr>
        <w:t>large language models into</w:t>
      </w:r>
      <w:r w:rsidR="00FB472D" w:rsidRPr="000704FD">
        <w:rPr>
          <w:rFonts w:ascii="Times New Roman" w:hAnsi="Times New Roman" w:cs="Times New Roman"/>
          <w:i/>
          <w:iCs/>
        </w:rPr>
        <w:t xml:space="preserve"> classrooms. Metacognition </w:t>
      </w:r>
      <w:r w:rsidR="002212B6" w:rsidRPr="000704FD">
        <w:rPr>
          <w:rFonts w:ascii="Times New Roman" w:hAnsi="Times New Roman" w:cs="Times New Roman"/>
          <w:i/>
          <w:iCs/>
        </w:rPr>
        <w:t xml:space="preserve">is a necessary skill for graduate students </w:t>
      </w:r>
      <w:r w:rsidR="000E5468" w:rsidRPr="000704FD">
        <w:rPr>
          <w:rFonts w:ascii="Times New Roman" w:hAnsi="Times New Roman" w:cs="Times New Roman"/>
          <w:i/>
          <w:iCs/>
        </w:rPr>
        <w:t xml:space="preserve">both within their course work and </w:t>
      </w:r>
      <w:r w:rsidR="007E7749" w:rsidRPr="000704FD">
        <w:rPr>
          <w:rFonts w:ascii="Times New Roman" w:hAnsi="Times New Roman" w:cs="Times New Roman"/>
          <w:i/>
          <w:iCs/>
        </w:rPr>
        <w:t xml:space="preserve">research and </w:t>
      </w:r>
      <w:r w:rsidR="001B4C20" w:rsidRPr="000704FD">
        <w:rPr>
          <w:rFonts w:ascii="Times New Roman" w:hAnsi="Times New Roman" w:cs="Times New Roman"/>
          <w:i/>
          <w:iCs/>
        </w:rPr>
        <w:t>AI</w:t>
      </w:r>
      <w:r w:rsidR="007E7749" w:rsidRPr="000704FD">
        <w:rPr>
          <w:rFonts w:ascii="Times New Roman" w:hAnsi="Times New Roman" w:cs="Times New Roman"/>
          <w:i/>
          <w:iCs/>
        </w:rPr>
        <w:t xml:space="preserve"> as a learning tool can be mechanism to support metacognition.</w:t>
      </w:r>
      <w:r w:rsidR="00C45EA8" w:rsidRPr="000704FD">
        <w:rPr>
          <w:rFonts w:ascii="Times New Roman" w:hAnsi="Times New Roman" w:cs="Times New Roman"/>
          <w:i/>
          <w:iCs/>
        </w:rPr>
        <w:t xml:space="preserve"> This study employed a qualitative research design centered on the hermeneutic interpretation of texts, in which student reflection documents </w:t>
      </w:r>
      <w:r w:rsidR="00B70EC6" w:rsidRPr="000704FD">
        <w:rPr>
          <w:rFonts w:ascii="Times New Roman" w:hAnsi="Times New Roman" w:cs="Times New Roman"/>
          <w:i/>
          <w:iCs/>
        </w:rPr>
        <w:t xml:space="preserve">were collected following weekly </w:t>
      </w:r>
      <w:r w:rsidR="001B4C20" w:rsidRPr="000704FD">
        <w:rPr>
          <w:rFonts w:ascii="Times New Roman" w:hAnsi="Times New Roman" w:cs="Times New Roman"/>
          <w:i/>
          <w:iCs/>
        </w:rPr>
        <w:t>AI</w:t>
      </w:r>
      <w:r w:rsidR="00B253EE" w:rsidRPr="000704FD">
        <w:rPr>
          <w:rFonts w:ascii="Times New Roman" w:hAnsi="Times New Roman" w:cs="Times New Roman"/>
          <w:i/>
          <w:iCs/>
        </w:rPr>
        <w:t xml:space="preserve"> learning activities within a graduate research methods course.</w:t>
      </w:r>
      <w:r w:rsidR="004B4762" w:rsidRPr="000704FD">
        <w:rPr>
          <w:rFonts w:ascii="Times New Roman" w:hAnsi="Times New Roman" w:cs="Times New Roman"/>
          <w:i/>
          <w:iCs/>
        </w:rPr>
        <w:t xml:space="preserve"> Analysis involved sustained, iterative engagement with the reflective texts consistent with hermeneutic approaches.</w:t>
      </w:r>
      <w:r w:rsidR="001B4C20" w:rsidRPr="000704FD">
        <w:rPr>
          <w:rFonts w:ascii="Times New Roman" w:hAnsi="Times New Roman" w:cs="Times New Roman"/>
          <w:i/>
          <w:iCs/>
        </w:rPr>
        <w:t xml:space="preserve"> The analysis resulted in two themes: AI as a safe space and “</w:t>
      </w:r>
      <w:r w:rsidR="00211559" w:rsidRPr="000704FD">
        <w:rPr>
          <w:rFonts w:ascii="Times New Roman" w:hAnsi="Times New Roman" w:cs="Times New Roman"/>
          <w:i/>
          <w:iCs/>
        </w:rPr>
        <w:t>c</w:t>
      </w:r>
      <w:r w:rsidR="001B4C20" w:rsidRPr="000704FD">
        <w:rPr>
          <w:rFonts w:ascii="Times New Roman" w:hAnsi="Times New Roman" w:cs="Times New Roman"/>
          <w:i/>
          <w:iCs/>
        </w:rPr>
        <w:t>ompanion” for learning</w:t>
      </w:r>
      <w:r w:rsidR="001B4C20" w:rsidRPr="000704FD">
        <w:rPr>
          <w:rFonts w:ascii="Times New Roman" w:hAnsi="Times New Roman" w:cs="Times New Roman"/>
        </w:rPr>
        <w:t xml:space="preserve"> and</w:t>
      </w:r>
      <w:r w:rsidR="00211559" w:rsidRPr="000704FD">
        <w:rPr>
          <w:rFonts w:ascii="Times New Roman" w:hAnsi="Times New Roman" w:cs="Times New Roman"/>
        </w:rPr>
        <w:t xml:space="preserve"> </w:t>
      </w:r>
      <w:r w:rsidR="00211559" w:rsidRPr="000704FD">
        <w:rPr>
          <w:rFonts w:ascii="Times New Roman" w:hAnsi="Times New Roman" w:cs="Times New Roman"/>
          <w:i/>
          <w:iCs/>
        </w:rPr>
        <w:t>intentionality of culture and modeling for AI use.</w:t>
      </w:r>
      <w:r w:rsidR="002A70DF" w:rsidRPr="000704FD">
        <w:rPr>
          <w:rFonts w:ascii="Times New Roman" w:hAnsi="Times New Roman" w:cs="Times New Roman"/>
          <w:i/>
          <w:iCs/>
        </w:rPr>
        <w:t xml:space="preserve"> </w:t>
      </w:r>
      <w:r w:rsidR="00383DCE" w:rsidRPr="000704FD">
        <w:rPr>
          <w:rFonts w:ascii="Times New Roman" w:hAnsi="Times New Roman" w:cs="Times New Roman"/>
          <w:i/>
          <w:iCs/>
        </w:rPr>
        <w:t xml:space="preserve">The findings indicate that course culture, </w:t>
      </w:r>
      <w:r w:rsidR="00C23066" w:rsidRPr="000704FD">
        <w:rPr>
          <w:rFonts w:ascii="Times New Roman" w:hAnsi="Times New Roman" w:cs="Times New Roman"/>
          <w:i/>
          <w:iCs/>
        </w:rPr>
        <w:t xml:space="preserve">norms, and instructor modeling helped </w:t>
      </w:r>
      <w:proofErr w:type="gramStart"/>
      <w:r w:rsidR="00C23066" w:rsidRPr="000704FD">
        <w:rPr>
          <w:rFonts w:ascii="Times New Roman" w:hAnsi="Times New Roman" w:cs="Times New Roman"/>
          <w:i/>
          <w:iCs/>
        </w:rPr>
        <w:t>student’s</w:t>
      </w:r>
      <w:proofErr w:type="gramEnd"/>
      <w:r w:rsidR="00C23066" w:rsidRPr="000704FD">
        <w:rPr>
          <w:rFonts w:ascii="Times New Roman" w:hAnsi="Times New Roman" w:cs="Times New Roman"/>
          <w:i/>
          <w:iCs/>
        </w:rPr>
        <w:t xml:space="preserve"> make meaning of AI as a learning tool. Additionally,</w:t>
      </w:r>
      <w:r w:rsidR="00C90D90" w:rsidRPr="000704FD">
        <w:rPr>
          <w:rFonts w:ascii="Times New Roman" w:hAnsi="Times New Roman" w:cs="Times New Roman"/>
          <w:i/>
          <w:iCs/>
        </w:rPr>
        <w:t xml:space="preserve"> the students perceived the model to be </w:t>
      </w:r>
      <w:proofErr w:type="gramStart"/>
      <w:r w:rsidR="00C90D90" w:rsidRPr="000704FD">
        <w:rPr>
          <w:rFonts w:ascii="Times New Roman" w:hAnsi="Times New Roman" w:cs="Times New Roman"/>
          <w:i/>
          <w:iCs/>
        </w:rPr>
        <w:t>a safe</w:t>
      </w:r>
      <w:proofErr w:type="gramEnd"/>
      <w:r w:rsidR="00C90D90" w:rsidRPr="000704FD">
        <w:rPr>
          <w:rFonts w:ascii="Times New Roman" w:hAnsi="Times New Roman" w:cs="Times New Roman"/>
          <w:i/>
          <w:iCs/>
        </w:rPr>
        <w:t xml:space="preserve"> learning safe to engage in conceptual content, engage in peer collaborations, and </w:t>
      </w:r>
      <w:r w:rsidR="00173FAD" w:rsidRPr="000704FD">
        <w:rPr>
          <w:rFonts w:ascii="Times New Roman" w:hAnsi="Times New Roman" w:cs="Times New Roman"/>
          <w:i/>
          <w:iCs/>
        </w:rPr>
        <w:t>regulate emotions during learning.</w:t>
      </w:r>
      <w:r w:rsidR="00C23066" w:rsidRPr="000704FD">
        <w:rPr>
          <w:rFonts w:ascii="Times New Roman" w:hAnsi="Times New Roman" w:cs="Times New Roman"/>
          <w:i/>
          <w:iCs/>
        </w:rPr>
        <w:t xml:space="preserve"> </w:t>
      </w:r>
      <w:r w:rsidR="005F4A58" w:rsidRPr="000704FD">
        <w:rPr>
          <w:rFonts w:ascii="Times New Roman" w:hAnsi="Times New Roman" w:cs="Times New Roman"/>
          <w:i/>
          <w:iCs/>
        </w:rPr>
        <w:t xml:space="preserve">It is recommended that </w:t>
      </w:r>
      <w:r w:rsidR="007018C8" w:rsidRPr="000704FD">
        <w:rPr>
          <w:rFonts w:ascii="Times New Roman" w:hAnsi="Times New Roman" w:cs="Times New Roman"/>
          <w:i/>
          <w:iCs/>
        </w:rPr>
        <w:t xml:space="preserve">faculty </w:t>
      </w:r>
      <w:r w:rsidR="00204014" w:rsidRPr="000704FD">
        <w:rPr>
          <w:rFonts w:ascii="Times New Roman" w:hAnsi="Times New Roman" w:cs="Times New Roman"/>
          <w:i/>
          <w:iCs/>
        </w:rPr>
        <w:t>develop course culture</w:t>
      </w:r>
      <w:r w:rsidR="003A2183" w:rsidRPr="000704FD">
        <w:rPr>
          <w:rFonts w:ascii="Times New Roman" w:hAnsi="Times New Roman" w:cs="Times New Roman"/>
          <w:i/>
          <w:iCs/>
        </w:rPr>
        <w:t>, norms, modeling, and metacognitive practices to support AI usage and future research needs to explore both faculty and student percep</w:t>
      </w:r>
      <w:r w:rsidR="002A70DF" w:rsidRPr="000704FD">
        <w:rPr>
          <w:rFonts w:ascii="Times New Roman" w:hAnsi="Times New Roman" w:cs="Times New Roman"/>
          <w:i/>
          <w:iCs/>
        </w:rPr>
        <w:t xml:space="preserve">tions related to using AI as a learning tool. </w:t>
      </w:r>
      <w:r w:rsidR="003A2183" w:rsidRPr="000704FD">
        <w:rPr>
          <w:rFonts w:ascii="Times New Roman" w:hAnsi="Times New Roman" w:cs="Times New Roman"/>
          <w:i/>
          <w:iCs/>
        </w:rPr>
        <w:t xml:space="preserve"> </w:t>
      </w:r>
      <w:r w:rsidR="00054706" w:rsidRPr="000704FD">
        <w:rPr>
          <w:rFonts w:ascii="Times New Roman" w:hAnsi="Times New Roman" w:cs="Times New Roman"/>
          <w:i/>
          <w:iCs/>
        </w:rPr>
        <w:t xml:space="preserve"> </w:t>
      </w:r>
      <w:r w:rsidR="00211559" w:rsidRPr="000704FD">
        <w:rPr>
          <w:rFonts w:ascii="Times New Roman" w:hAnsi="Times New Roman" w:cs="Times New Roman"/>
          <w:i/>
          <w:iCs/>
        </w:rPr>
        <w:t xml:space="preserve"> </w:t>
      </w:r>
      <w:r w:rsidR="00211559" w:rsidRPr="000704FD">
        <w:rPr>
          <w:rFonts w:ascii="Times New Roman" w:hAnsi="Times New Roman" w:cs="Times New Roman"/>
          <w:b/>
          <w:bCs/>
        </w:rPr>
        <w:t xml:space="preserve">  </w:t>
      </w:r>
      <w:r w:rsidR="00211559" w:rsidRPr="000704FD">
        <w:rPr>
          <w:rFonts w:ascii="Times New Roman" w:hAnsi="Times New Roman" w:cs="Times New Roman"/>
        </w:rPr>
        <w:t xml:space="preserve"> </w:t>
      </w:r>
      <w:r w:rsidR="00211559" w:rsidRPr="000704FD">
        <w:rPr>
          <w:rFonts w:ascii="Times New Roman" w:hAnsi="Times New Roman" w:cs="Times New Roman"/>
          <w:b/>
          <w:bCs/>
        </w:rPr>
        <w:t xml:space="preserve">  </w:t>
      </w:r>
    </w:p>
    <w:p w14:paraId="3F4EB44C" w14:textId="1041ECE7" w:rsidR="00442BFC" w:rsidRPr="000704FD" w:rsidRDefault="00585978" w:rsidP="000704FD">
      <w:pPr>
        <w:spacing w:line="240" w:lineRule="auto"/>
        <w:jc w:val="center"/>
        <w:rPr>
          <w:rFonts w:ascii="Times New Roman" w:hAnsi="Times New Roman" w:cs="Times New Roman"/>
          <w:b/>
          <w:bCs/>
        </w:rPr>
      </w:pPr>
      <w:r w:rsidRPr="000704FD">
        <w:rPr>
          <w:rFonts w:ascii="Times New Roman" w:hAnsi="Times New Roman" w:cs="Times New Roman"/>
          <w:b/>
          <w:bCs/>
        </w:rPr>
        <w:t>Introduction</w:t>
      </w:r>
    </w:p>
    <w:p w14:paraId="20B354F0" w14:textId="787D5B81" w:rsidR="00261DE7" w:rsidRPr="000704FD" w:rsidRDefault="00E65434" w:rsidP="000704FD">
      <w:pPr>
        <w:spacing w:line="240" w:lineRule="auto"/>
        <w:ind w:firstLine="720"/>
        <w:rPr>
          <w:rFonts w:ascii="Times New Roman" w:hAnsi="Times New Roman" w:cs="Times New Roman"/>
        </w:rPr>
      </w:pPr>
      <w:r w:rsidRPr="00E65434">
        <w:rPr>
          <w:rFonts w:ascii="Times New Roman" w:hAnsi="Times New Roman" w:cs="Times New Roman"/>
        </w:rPr>
        <w:t>The integration of artificial intelligence (AI), particularly large language models (LLMs), into higher education has reshaped how students and educators engage research, writing, and knowledge wor</w:t>
      </w:r>
      <w:r>
        <w:rPr>
          <w:rFonts w:ascii="Times New Roman" w:hAnsi="Times New Roman" w:cs="Times New Roman"/>
        </w:rPr>
        <w:t xml:space="preserve">k </w:t>
      </w:r>
      <w:r w:rsidR="00440AA1" w:rsidRPr="000704FD">
        <w:rPr>
          <w:rFonts w:ascii="Times New Roman" w:hAnsi="Times New Roman" w:cs="Times New Roman"/>
        </w:rPr>
        <w:fldChar w:fldCharType="begin"/>
      </w:r>
      <w:r w:rsidR="00440AA1" w:rsidRPr="000704FD">
        <w:rPr>
          <w:rFonts w:ascii="Times New Roman" w:hAnsi="Times New Roman" w:cs="Times New Roman"/>
        </w:rPr>
        <w:instrText xml:space="preserve"> ADDIN ZOTERO_ITEM CSL_CITATION {"citationID":"t3tH2jr3","properties":{"formattedCitation":"(Cefa et al., 2025; Selwyn, 2022)","plainCitation":"(Cefa et al., 2025; Selwyn, 2022)","noteIndex":0},"citationItems":[{"id":18629,"uris":["http://zotero.org/users/14842315/items/6DUWNEDP"],"itemData":{"id":18629,"type":"article-journal","abstract":"Immediately after its public launch in November 2022, ChatGPT quickly gained widespread attention across various research fields, including education. The excitement surrounding ChatGPT is not an isolated event as education experienced other innovations that heralded the novelty as a potential game-changer in learner support and teaching. Open, Distance, and Digital Education (ODDE) scholars, along with critical educational technology (edtech) researchers, have long argued that technological affordances must be examined alongside their constraints. This study scopes the early academic response to ChatGPT, mapping the emerging discourse through bibliometric and content analysis. Using a corpus of 217 papers published from November 2022 to July 2023, we identify key themes, methodological trends, disciplinary perspectives, and geographic distributions. Through network analysis of keywords, titles, and abstracts, and a deeper content analysis of full texts, we explore how scholarly discussions framed ChatGPT’s implications for education. Beyond documenting initial reactions, this study provides a lens on how educational research engages with rapid technological shifts in an evolving landscape of AI in education.","container-title":"Open Praxis","DOI":"https://doi.org/10.55982/ openpraxis.17.2.872","issue":"2","language":"en","page":"227-250","source":"Zotero","title":"Responses to the initial hype: ChatGPT supporting teaching, learning, and scholarship?","volume":"17","author":[{"family":"Cefa","given":"Berrin"},{"family":"Macgilchrist","given":"Felicitas"},{"family":"ElGamal","given":"Hebatullah"},{"family":"Bai","given":"John Y. H."},{"family":"Zawacki-Richter","given":"Olaf"}],"issued":{"date-parts":[["2025"]]}}},{"id":16737,"uris":["http://zotero.org/users/14842315/items/SQW4DFLM"],"itemData":{"id":16737,"type":"article-journal","abstract":"In light of fast-growing popular, political and professional discourses around AI in education, this article outlines five broad areas of contention that merit closer attention in future discussion and decision-making. These include: (1) taking care to focus on issues relating to 'actually existing' AI rather than the overselling of speculative AI technologies; (2) clearly foregrounding the limitations of AI in terms of modelling social contexts, and simulating human intelligence, reckoning, autonomy and emotions; (3) foregrounding the social harms associated with AI use; (4) acknowledging the value-driven nature of claims around AI; and (5) paying closer attention to the environmental and ecological sustainability of continued AI development and implementation. Thus, in contrast to popular notions of AI as a neutral tool, the argument is made for engaging with the ongoing use of AI in education as a political action that has varying impacts on different groups of people in various educational contexts.","container-title":"European Journal of Education","DOI":"10.1111/ejed.12532","ISSN":"0141-8211, 1465-3435","issue":"4","journalAbbreviation":"Euro J of Education","language":"en","page":"620-631","source":"DOI.org (Crossref)","title":"The future of AI and education: Some cautionary notes","volume":"57","author":[{"family":"Selwyn","given":"Neil"}],"issued":{"date-parts":[["2022",12]]}}}],"schema":"https://github.com/citation-style-language/schema/raw/master/csl-citation.json"} </w:instrText>
      </w:r>
      <w:r w:rsidR="00440AA1" w:rsidRPr="000704FD">
        <w:rPr>
          <w:rFonts w:ascii="Times New Roman" w:hAnsi="Times New Roman" w:cs="Times New Roman"/>
        </w:rPr>
        <w:fldChar w:fldCharType="separate"/>
      </w:r>
      <w:r w:rsidR="00440AA1" w:rsidRPr="000704FD">
        <w:rPr>
          <w:rFonts w:ascii="Times New Roman" w:hAnsi="Times New Roman" w:cs="Times New Roman"/>
        </w:rPr>
        <w:t>(Cefa et al., 2025; Selwyn, 2022)</w:t>
      </w:r>
      <w:r w:rsidR="00440AA1" w:rsidRPr="000704FD">
        <w:rPr>
          <w:rFonts w:ascii="Times New Roman" w:hAnsi="Times New Roman" w:cs="Times New Roman"/>
        </w:rPr>
        <w:fldChar w:fldCharType="end"/>
      </w:r>
      <w:r w:rsidR="00261DE7" w:rsidRPr="000704FD">
        <w:rPr>
          <w:rFonts w:ascii="Times New Roman" w:hAnsi="Times New Roman" w:cs="Times New Roman"/>
        </w:rPr>
        <w:t xml:space="preserve">. </w:t>
      </w:r>
      <w:r w:rsidR="00203866" w:rsidRPr="00203866">
        <w:rPr>
          <w:rFonts w:ascii="Times New Roman" w:hAnsi="Times New Roman" w:cs="Times New Roman"/>
        </w:rPr>
        <w:t>In graduate contexts, AI is increasingly used to support literature exploration, conceptual clarification, methodological questioning, and iterative drafting</w:t>
      </w:r>
      <w:r w:rsidR="006C0C94" w:rsidRPr="000704FD">
        <w:rPr>
          <w:rFonts w:ascii="Times New Roman" w:hAnsi="Times New Roman" w:cs="Times New Roman"/>
        </w:rPr>
        <w:t xml:space="preserve"> </w:t>
      </w:r>
      <w:r w:rsidR="006C0C94" w:rsidRPr="000704FD">
        <w:rPr>
          <w:rFonts w:ascii="Times New Roman" w:hAnsi="Times New Roman" w:cs="Times New Roman"/>
        </w:rPr>
        <w:fldChar w:fldCharType="begin"/>
      </w:r>
      <w:r w:rsidR="006C0C94" w:rsidRPr="000704FD">
        <w:rPr>
          <w:rFonts w:ascii="Times New Roman" w:hAnsi="Times New Roman" w:cs="Times New Roman"/>
        </w:rPr>
        <w:instrText xml:space="preserve"> ADDIN ZOTERO_ITEM CSL_CITATION {"citationID":"pn6BdfJe","properties":{"formattedCitation":"(Bista &amp; Bista, 2025; Lin, 2023)","plainCitation":"(Bista &amp; Bista, 2025; Lin, 2023)","noteIndex":0},"citationItems":[{"id":18643,"uris":["http://zotero.org/users/14842315/items/G4JL7Y8E"],"itemData":{"id":18643,"type":"article-journal","abstract":"This study explores the application of artificial intelligence (AI) tools such as ChatGPT, Google Gemini, and Microsoft Copilot in enhancing academic writing and critical thinking among doctoral students at a historically Black college and university (HBCU) in the United States. Through a qualitative case study approach involving doctoral students throughout a summer semester, data were collected via assignments, written artifacts, and semi-structured interviews. The thematic analysis reveals students' perceptions of the effectiveness of these AI tools in enhancing academic writing and critical thinking skills. Findings highlight the practical benefits, such as improved clarity and efficiency in writing, alongside challenges like occasional inaccuracies and ethical considerations. The study underscores the potential of AI to transform educational practices, advocating for its thoughtful integration to support academic integrity and innovation. Future research should explore more robust error-checking features and personalized learning experiences to maximize the utility of AI in higher education.","container-title":"American Journal of STEM Education: Issues and Perspectives","DOI":"https://doi.org/10.32674/9m8dq081","language":"en","page":"32-47","source":"Zotero","title":"Leveraging AI Tools in Academic Writing: Insights from Doctoral Students on Benefits and Challenges","volume":"6","author":[{"family":"Bista","given":"Krishna"},{"family":"Bista","given":"Rajendra"}],"issued":{"date-parts":[["2025"]]}}},{"id":6825,"uris":["http://zotero.org/users/14842315/items/B5Z8PVVZ"],"itemData":{"id":6825,"type":"article-journal","abstract":"Generative artificial intelligence (AI), including large language models (LLMs), is poised to transform scientific research, enabling researchers to elevate their research productivity. This article presents a how-to guide for employing LLMs in academic settings, focusing on their unique strengths, constraints and implications through the lens of philosophy of science and epistemology. Using ChatGPT as a case study, I identify and elaborate on three attributes contributing to its effectiveness—intelligence, versatility and collaboration—accompanied by tips on crafting effective prompts, practical use cases and a living resource online (https://osf.io/8vpwu/). Next, I evaluate the limitations of generative AI and its implications for ethical use, equality and education. Regarding ethical and responsible use, I argue from technical and epistemic standpoints that there is no need to restrict the scope or nature of AI assistance, provided that its use is transparently disclosed. A pressing challenge, however, lies in detecting fake research, which can be mitigated by embracing open science practices, such as transparent peer review and sharing data, code and materials. Addressing equality, I contend that while generative AI may promote equality for some, it may simultaneously exacerbate disparities for others—an issue with potentially significant yet unclear ramifications as it unfolds. Lastly, I consider the implications for education, advocating for active engagement with LLMs and cultivating students' critical thinking and analytical skills. The how-to guide seeks to empower researchers with the knowledge and resources necessary to effectively harness generative AI while navigating the complex ethical dilemmas intrinsic to its application.","container-title":"Royal Society Open Science","DOI":"10.1098/rsos.230658","ISSN":"2054-5703","issue":"8","journalAbbreviation":"R. Soc. open sci.","language":"en","page":"230658","source":"DOI.org (Crossref)","title":"Why and how to embrace AI such as ChatGPT in your academic life","volume":"10","author":[{"family":"Lin","given":"Zhicheng"}],"issued":{"date-parts":[["2023",8]]}}}],"schema":"https://github.com/citation-style-language/schema/raw/master/csl-citation.json"} </w:instrText>
      </w:r>
      <w:r w:rsidR="006C0C94" w:rsidRPr="000704FD">
        <w:rPr>
          <w:rFonts w:ascii="Times New Roman" w:hAnsi="Times New Roman" w:cs="Times New Roman"/>
        </w:rPr>
        <w:fldChar w:fldCharType="separate"/>
      </w:r>
      <w:r w:rsidR="006C0C94" w:rsidRPr="000704FD">
        <w:rPr>
          <w:rFonts w:ascii="Times New Roman" w:hAnsi="Times New Roman" w:cs="Times New Roman"/>
        </w:rPr>
        <w:t>(Bista &amp; Bista, 2025; Lin, 2023)</w:t>
      </w:r>
      <w:r w:rsidR="006C0C94" w:rsidRPr="000704FD">
        <w:rPr>
          <w:rFonts w:ascii="Times New Roman" w:hAnsi="Times New Roman" w:cs="Times New Roman"/>
        </w:rPr>
        <w:fldChar w:fldCharType="end"/>
      </w:r>
      <w:r w:rsidR="00261DE7" w:rsidRPr="000704FD">
        <w:rPr>
          <w:rFonts w:ascii="Times New Roman" w:hAnsi="Times New Roman" w:cs="Times New Roman"/>
        </w:rPr>
        <w:t xml:space="preserve">. </w:t>
      </w:r>
      <w:r w:rsidR="00203866" w:rsidRPr="00203866">
        <w:rPr>
          <w:rFonts w:ascii="Times New Roman" w:hAnsi="Times New Roman" w:cs="Times New Roman"/>
        </w:rPr>
        <w:t>At the same time, its adoption has unfolded amid heightened attention to academic integrity, authorship, and ethical use, producing learning environments marked by both possibility and uncertainty</w:t>
      </w:r>
      <w:r w:rsidR="00203866">
        <w:rPr>
          <w:rFonts w:ascii="Times New Roman" w:hAnsi="Times New Roman" w:cs="Times New Roman"/>
        </w:rPr>
        <w:t xml:space="preserve"> </w:t>
      </w:r>
      <w:r w:rsidR="000B0A2F" w:rsidRPr="000704FD">
        <w:rPr>
          <w:rFonts w:ascii="Times New Roman" w:hAnsi="Times New Roman" w:cs="Times New Roman"/>
        </w:rPr>
        <w:fldChar w:fldCharType="begin"/>
      </w:r>
      <w:r w:rsidR="000B0A2F" w:rsidRPr="000704FD">
        <w:rPr>
          <w:rFonts w:ascii="Times New Roman" w:hAnsi="Times New Roman" w:cs="Times New Roman"/>
        </w:rPr>
        <w:instrText xml:space="preserve"> ADDIN ZOTERO_ITEM CSL_CITATION {"citationID":"ZhmDVEBl","properties":{"formattedCitation":"(Lin, 2023; Mishra &amp; Varshney, 2024)","plainCitation":"(Lin, 2023; Mishra &amp; Varshney, 2024)","noteIndex":0},"citationItems":[{"id":6825,"uris":["http://zotero.org/users/14842315/items/B5Z8PVVZ"],"itemData":{"id":6825,"type":"article-journal","abstract":"Generative artificial intelligence (AI), including large language models (LLMs), is poised to transform scientific research, enabling researchers to elevate their research productivity. This article presents a how-to guide for employing LLMs in academic settings, focusing on their unique strengths, constraints and implications through the lens of philosophy of science and epistemology. Using ChatGPT as a case study, I identify and elaborate on three attributes contributing to its effectiveness—intelligence, versatility and collaboration—accompanied by tips on crafting effective prompts, practical use cases and a living resource online (https://osf.io/8vpwu/). Next, I evaluate the limitations of generative AI and its implications for ethical use, equality and education. Regarding ethical and responsible use, I argue from technical and epistemic standpoints that there is no need to restrict the scope or nature of AI assistance, provided that its use is transparently disclosed. A pressing challenge, however, lies in detecting fake research, which can be mitigated by embracing open science practices, such as transparent peer review and sharing data, code and materials. Addressing equality, I contend that while generative AI may promote equality for some, it may simultaneously exacerbate disparities for others—an issue with potentially significant yet unclear ramifications as it unfolds. Lastly, I consider the implications for education, advocating for active engagement with LLMs and cultivating students' critical thinking and analytical skills. The how-to guide seeks to empower researchers with the knowledge and resources necessary to effectively harness generative AI while navigating the complex ethical dilemmas intrinsic to its application.","container-title":"Royal Society Open Science","DOI":"10.1098/rsos.230658","ISSN":"2054-5703","issue":"8","journalAbbreviation":"R. Soc. open sci.","language":"en","page":"230658","source":"DOI.org (Crossref)","title":"Why and how to embrace AI such as ChatGPT in your academic life","volume":"10","author":[{"family":"Lin","given":"Zhicheng"}],"issued":{"date-parts":[["2023",8]]}}},{"id":16766,"uris":["http://zotero.org/users/14842315/items/AYCBUAEU"],"itemData":{"id":16766,"type":"article-journal","abstract":"The study surveyed faculty across various disciplines and experience levels using a mixed-method approach, showing significant insights into their perceptions, methods, and challenges towards Academic Integrity. The findings indicate a high awareness of academic dishonesty, with most university students reportedly engaging in such acts. Faculty employ diverse strategies to combat academic dishonesty, including syllabus integrity expectations, ethical dialogues, and varied assessment formats. However, challenges like the influence of the digital environment, online learning issues, and student pressure persist. The study highlights the need for institutional policies and faculty development programs emphasizing ethical conduct and practical engagement in academic integrity. Recommendations include enhancing syllabus communication, engaging in ethical dialogues, and using varied assessment formats and teaching learning method along with the modification in pedagogies. The study aligns with Aristotle's virtue ethics, advocating for the development of moral virtues through practical engagements. Key findings highlight the role of Ethical Artificial Intelligence (AI) literacy in addressing Artificial Intelligence (AI)driven academic dishonesty, suggesting the importance of Artificial Intelligence (AI) monitoring tools and Ethical Education.","container-title":"International Journal of All Research Education and Scientific Methods","issue":"4","language":"en","source":"Zotero","title":"Academic Integrity in Higher Education: Faculty Perceptions, Strategies, and Digital Challenges in the Digital Age","volume":"12","author":[{"family":"Mishra","given":"Dr Rashmi"},{"family":"Varshney","given":"Deepika"}],"issued":{"date-parts":[["2024"]]}}}],"schema":"https://github.com/citation-style-language/schema/raw/master/csl-citation.json"} </w:instrText>
      </w:r>
      <w:r w:rsidR="000B0A2F" w:rsidRPr="000704FD">
        <w:rPr>
          <w:rFonts w:ascii="Times New Roman" w:hAnsi="Times New Roman" w:cs="Times New Roman"/>
        </w:rPr>
        <w:fldChar w:fldCharType="separate"/>
      </w:r>
      <w:r w:rsidR="000B0A2F" w:rsidRPr="000704FD">
        <w:rPr>
          <w:rFonts w:ascii="Times New Roman" w:hAnsi="Times New Roman" w:cs="Times New Roman"/>
        </w:rPr>
        <w:t>(Lin, 2023; Mishra &amp; Varshney, 2024)</w:t>
      </w:r>
      <w:r w:rsidR="000B0A2F" w:rsidRPr="000704FD">
        <w:rPr>
          <w:rFonts w:ascii="Times New Roman" w:hAnsi="Times New Roman" w:cs="Times New Roman"/>
        </w:rPr>
        <w:fldChar w:fldCharType="end"/>
      </w:r>
      <w:r w:rsidR="00261DE7" w:rsidRPr="000704FD">
        <w:rPr>
          <w:rFonts w:ascii="Times New Roman" w:hAnsi="Times New Roman" w:cs="Times New Roman"/>
        </w:rPr>
        <w:t xml:space="preserve">. </w:t>
      </w:r>
      <w:r w:rsidR="00203866">
        <w:rPr>
          <w:rFonts w:ascii="Times New Roman" w:hAnsi="Times New Roman" w:cs="Times New Roman"/>
        </w:rPr>
        <w:t>T</w:t>
      </w:r>
      <w:r w:rsidR="00203866" w:rsidRPr="00203866">
        <w:rPr>
          <w:rFonts w:ascii="Times New Roman" w:hAnsi="Times New Roman" w:cs="Times New Roman"/>
        </w:rPr>
        <w:t>hese dynamics reflect a broader sociotechnical shift that reconfigures norms of authority, legitimacy, and responsibility as institutional responses, faculty expectations, and student practices evolve unevenl</w:t>
      </w:r>
      <w:r w:rsidR="00AF1412" w:rsidRPr="000704FD">
        <w:rPr>
          <w:rFonts w:ascii="Times New Roman" w:hAnsi="Times New Roman" w:cs="Times New Roman"/>
        </w:rPr>
        <w:t xml:space="preserve">y </w:t>
      </w:r>
      <w:r w:rsidR="00D105F0" w:rsidRPr="000704FD">
        <w:rPr>
          <w:rFonts w:ascii="Times New Roman" w:hAnsi="Times New Roman" w:cs="Times New Roman"/>
        </w:rPr>
        <w:fldChar w:fldCharType="begin"/>
      </w:r>
      <w:r w:rsidR="00C5141E" w:rsidRPr="000704FD">
        <w:rPr>
          <w:rFonts w:ascii="Times New Roman" w:hAnsi="Times New Roman" w:cs="Times New Roman"/>
        </w:rPr>
        <w:instrText xml:space="preserve"> ADDIN ZOTERO_ITEM CSL_CITATION {"citationID":"d0W4eS1G","properties":{"formattedCitation":"(Bearman &amp; Ajjawi, 2023; Cefa et al., 2025; Selwyn, 2022)","plainCitation":"(Bearman &amp; Ajjawi, 2023; Cefa et al., 2025; Selwyn, 2022)","noteIndex":0},"citationItems":[{"id":16778,"uris":["http://zotero.org/users/14842315/items/WUT62Y6Y"],"itemData":{"id":16778,"type":"article-journal","abstract":"Artificial intelligence (AI) is increasingly integrating into our society. University education needs to maintain its relevance in an AI-mediated world, but the higher education sector is only beginning to engage deeply with the implications of AI within society. We define AI according to a relational epistemology, where, in the context of a particular interaction, a computational artefact provides a judgement about an optimal course of action and that this judgement cannot be traced. Therefore, by definition, AI must always act as a ‘black box’. Rather than seeking to explain ‘black boxes’, we argue that a pedagogy for an AI-mediated world involves learning to work with opaque, partial and ambiguous situations, which reflect the entangled relationships between people and technologies. Such a pedagogy asks learners locate AI as socially bounded, where AI is always understood within the contexts of its use. We outline two particular approaches to achieve this: (a) orienting students to quality standards that surround AIs, what might be called the tacit and explicit ‘rules of the game’; and (b) providing meaningful interactions with AI systems.","container-title":"British Journal of Educational Technology","DOI":"10.1111/bjet.13337","ISSN":"0007-1013, 1467-8535","issue":"5","journalAbbreviation":"Brit J Educational Tech","language":"en","page":"1160-1173","source":"DOI.org (Crossref)","title":"Learning to work with the black box: Pedagogy for a world with artificial intelligence","title-short":"Learning to work with the black box","volume":"54","author":[{"family":"Bearman","given":"Margaret"},{"family":"Ajjawi","given":"Rola"}],"issued":{"date-parts":[["2023",9]]}}},{"id":18629,"uris":["http://zotero.org/users/14842315/items/6DUWNEDP"],"itemData":{"id":18629,"type":"article-journal","abstract":"Immediately after its public launch in November 2022, ChatGPT quickly gained widespread attention across various research fields, including education. The excitement surrounding ChatGPT is not an isolated event as education experienced other innovations that heralded the novelty as a potential game-changer in learner support and teaching. Open, Distance, and Digital Education (ODDE) scholars, along with critical educational technology (edtech) researchers, have long argued that technological affordances must be examined alongside their constraints. This study scopes the early academic response to ChatGPT, mapping the emerging discourse through bibliometric and content analysis. Using a corpus of 217 papers published from November 2022 to July 2023, we identify key themes, methodological trends, disciplinary perspectives, and geographic distributions. Through network analysis of keywords, titles, and abstracts, and a deeper content analysis of full texts, we explore how scholarly discussions framed ChatGPT’s implications for education. Beyond documenting initial reactions, this study provides a lens on how educational research engages with rapid technological shifts in an evolving landscape of AI in education.","container-title":"Open Praxis","DOI":"https://doi.org/10.55982/ openpraxis.17.2.872","issue":"2","language":"en","page":"227-250","source":"Zotero","title":"Responses to the initial hype: ChatGPT supporting teaching, learning, and scholarship?","volume":"17","author":[{"family":"Cefa","given":"Berrin"},{"family":"Macgilchrist","given":"Felicitas"},{"family":"ElGamal","given":"Hebatullah"},{"family":"Bai","given":"John Y. H."},{"family":"Zawacki-Richter","given":"Olaf"}],"issued":{"date-parts":[["2025"]]}}},{"id":16737,"uris":["http://zotero.org/users/14842315/items/SQW4DFLM"],"itemData":{"id":16737,"type":"article-journal","abstract":"In light of fast-growing popular, political and professional discourses around AI in education, this article outlines five broad areas of contention that merit closer attention in future discussion and decision-making. These include: (1) taking care to focus on issues relating to 'actually existing' AI rather than the overselling of speculative AI technologies; (2) clearly foregrounding the limitations of AI in terms of modelling social contexts, and simulating human intelligence, reckoning, autonomy and emotions; (3) foregrounding the social harms associated with AI use; (4) acknowledging the value-driven nature of claims around AI; and (5) paying closer attention to the environmental and ecological sustainability of continued AI development and implementation. Thus, in contrast to popular notions of AI as a neutral tool, the argument is made for engaging with the ongoing use of AI in education as a political action that has varying impacts on different groups of people in various educational contexts.","container-title":"European Journal of Education","DOI":"10.1111/ejed.12532","ISSN":"0141-8211, 1465-3435","issue":"4","journalAbbreviation":"Euro J of Education","language":"en","page":"620-631","source":"DOI.org (Crossref)","title":"The future of AI and education: Some cautionary notes","volume":"57","author":[{"family":"Selwyn","given":"Neil"}],"issued":{"date-parts":[["2022",12]]}}}],"schema":"https://github.com/citation-style-language/schema/raw/master/csl-citation.json"} </w:instrText>
      </w:r>
      <w:r w:rsidR="00D105F0" w:rsidRPr="000704FD">
        <w:rPr>
          <w:rFonts w:ascii="Times New Roman" w:hAnsi="Times New Roman" w:cs="Times New Roman"/>
        </w:rPr>
        <w:fldChar w:fldCharType="separate"/>
      </w:r>
      <w:r w:rsidR="00C5141E" w:rsidRPr="000704FD">
        <w:rPr>
          <w:rFonts w:ascii="Times New Roman" w:hAnsi="Times New Roman" w:cs="Times New Roman"/>
        </w:rPr>
        <w:t>(Bearman &amp; Ajjawi, 2023; Cefa et al., 2025; Selwyn, 2022)</w:t>
      </w:r>
      <w:r w:rsidR="00D105F0" w:rsidRPr="000704FD">
        <w:rPr>
          <w:rFonts w:ascii="Times New Roman" w:hAnsi="Times New Roman" w:cs="Times New Roman"/>
        </w:rPr>
        <w:fldChar w:fldCharType="end"/>
      </w:r>
      <w:r w:rsidR="00C5141E" w:rsidRPr="000704FD">
        <w:rPr>
          <w:rFonts w:ascii="Times New Roman" w:hAnsi="Times New Roman" w:cs="Times New Roman"/>
        </w:rPr>
        <w:t>.</w:t>
      </w:r>
    </w:p>
    <w:p w14:paraId="75E91E82" w14:textId="3E994828" w:rsidR="00261DE7" w:rsidRPr="000704FD" w:rsidRDefault="008744CF" w:rsidP="000704FD">
      <w:pPr>
        <w:spacing w:line="240" w:lineRule="auto"/>
        <w:ind w:firstLine="720"/>
        <w:rPr>
          <w:rFonts w:ascii="Times New Roman" w:hAnsi="Times New Roman" w:cs="Times New Roman"/>
        </w:rPr>
      </w:pPr>
      <w:r w:rsidRPr="008744CF">
        <w:rPr>
          <w:rFonts w:ascii="Times New Roman" w:hAnsi="Times New Roman" w:cs="Times New Roman"/>
        </w:rPr>
        <w:t>Graduate learning research suggests that advanced academic work requires sustained metacognitive awareness, self-regulation, and reflection</w:t>
      </w:r>
      <w:r>
        <w:rPr>
          <w:rFonts w:ascii="Times New Roman" w:hAnsi="Times New Roman" w:cs="Times New Roman"/>
        </w:rPr>
        <w:t xml:space="preserve"> </w:t>
      </w:r>
      <w:r w:rsidR="0070083E" w:rsidRPr="000704FD">
        <w:rPr>
          <w:rFonts w:ascii="Times New Roman" w:hAnsi="Times New Roman" w:cs="Times New Roman"/>
        </w:rPr>
        <w:fldChar w:fldCharType="begin"/>
      </w:r>
      <w:r w:rsidR="0070083E" w:rsidRPr="000704FD">
        <w:rPr>
          <w:rFonts w:ascii="Times New Roman" w:hAnsi="Times New Roman" w:cs="Times New Roman"/>
        </w:rPr>
        <w:instrText xml:space="preserve"> ADDIN ZOTERO_ITEM CSL_CITATION {"citationID":"UGIusTmb","properties":{"formattedCitation":"(Cantwell et al., 2012, 2017; Zarestky et al., 2022)","plainCitation":"(Cantwell et al., 2012, 2017; Zarestky et al., 2022)","noteIndex":0},"citationItems":[{"id":18633,"uris":["http://zotero.org/users/14842315/items/ZNZDUDYL"],"itemData":{"id":18633,"type":"chapter","abstract":"This chapter addresses issues relating to quality learning in the specific context of doctoral study. As the elite level of formal education, doctoral study places a high level of expectation on candidates to contribute in an important and original way to the field of study. This expectation imposes a high metacognitive load on students, in appropriately conceptualising the task, and in managing the intellectual, affective, and contingency demands that accompany its enactment. We suggest that the regulatory control behaviours of doctoral candidates may best be explained by reference to a broader conception of metacognitive knowledge than has traditionally been employed. We conclude that the sources of regulatory activity are multi-dimensional, and describe them in terms of an active multidimensional epistemic metacognitive framework that establishes the parameters of subsequent regulatory activity.","container-title":"Enhancing the Quality of Learning","DOI":"10.1017/CBO9781139048224.007","edition":"1","ISBN":"978-1-139-04822-4","language":"en","page":"93-114","publisher":"Cambridge University Press","source":"DOI.org (Crossref)","title":"Individual Differences That Affect the Quality of Learning in Doctoral Candidates","URL":"https://www.cambridge.org/core/product/identifier/9781139048224%23c19942-5-1/type/book_part","editor":[{"family":"Kirby","given":"John R."},{"family":"Lawson","given":"Michael J."}],"author":[{"family":"Cantwell","given":"Robert H."},{"family":"Scevak","given":"Jill J."},{"family":"Bourke","given":"Sid"},{"family":"Holbrook","given":"Allyson"}],"accessed":{"date-parts":[["2026",4,2]]},"issued":{"date-parts":[["2012",5,21]]}}},{"id":18653,"uris":["http://zotero.org/users/14842315/items/LE6BDNQ7"],"itemData":{"id":18653,"type":"article-journal","container-title":"Studies in Higher Education","DOI":"10.1080/03075079.2015.1034263","ISSN":"0307-5079, 1470-174X","issue":"1","journalAbbreviation":"Studies in Higher Education","language":"en","page":"47-64","source":"DOI.org (Crossref)","title":"Doctoral candidates as learners: a study of individual differences in responses to learning and its management","title-short":"Doctoral candidates as learners","volume":"42","author":[{"family":"Cantwell","given":"Robert H."},{"family":"Bourke","given":"Sid F."},{"family":"Scevak","given":"Jill J."},{"family":"Holbrook","given":"Allyson P."},{"family":"Budd","given":"Janene"}],"issued":{"date-parts":[["2017",1,2]]}}},{"id":18642,"uris":["http://zotero.org/users/14842315/items/ZP2YW6DQ"],"itemData":{"id":18642,"type":"article-journal","abstract":"Computational Science and Engineering (CS&amp;E) is a relatively new discipline for which no consensus exists on how classes should best be taught. Many CS&amp;E courses are compressed add-ons to existing programs and, consequently, must cover a breadth of topics encompassing modules from mathematics, statistics, computer science, and application disciplines. Additionally, these courses would benefit from embedded 21st century skills, including problem-solving, critical thinking, and lifelong learning behaviors, but such skills are often neglected in course design even though the education and workforce literature are clear about their importance for future careers. The breadth and complexity in course design necessary to incorporate all of these components create a challenge for instructors and students. In this interpretive study, we investigate student experiences and perceived outcomes in a technology-mediated graduate-level CS&amp;E course designed to address the difficulties associated with this wide range of disciplinary topics and professional skills. Our course design is based on reflective practice and principles of metacognition, and applies elements such as a flipped classroom, student journals, and reflective writing exercises; these design goals directly support students’ metacognition and foster self-regulated learning behaviors that, in turn, develop critical thinking and problem-solving abilities. We evaluate this design using student reflective writing and surveys. Results indicate reflective writing activities in course design helped develop students’ metacognitive awareness, self-regulated learning behaviors, problemsolving, and critical thinking skills. This course design can serve as a template for others teaching technologymediated courses in CS&amp;E and related areas, and aiming to develop students’ 21st century professional skills.","container-title":"Computers and Education Open","DOI":"10.1016/j.caeo.2022.100085","ISSN":"26665573","journalAbbreviation":"Computers and Education Open","language":"en","page":"100085","source":"DOI.org (Crossref)","title":"Reflective Writing Supports Metacognition and Self-regulation in Graduate Computational Science and Engineering","volume":"3","author":[{"family":"Zarestky","given":"Jill"},{"family":"Bigler","given":"Michelle"},{"family":"Brazile","given":"Mollie"},{"family":"Lopes","given":"Tobin"},{"family":"Bangerth","given":"Wolfgang"}],"issued":{"date-parts":[["2022",12]]}}}],"schema":"https://github.com/citation-style-language/schema/raw/master/csl-citation.json"} </w:instrText>
      </w:r>
      <w:r w:rsidR="0070083E" w:rsidRPr="000704FD">
        <w:rPr>
          <w:rFonts w:ascii="Times New Roman" w:hAnsi="Times New Roman" w:cs="Times New Roman"/>
        </w:rPr>
        <w:fldChar w:fldCharType="separate"/>
      </w:r>
      <w:r w:rsidR="0070083E" w:rsidRPr="000704FD">
        <w:rPr>
          <w:rFonts w:ascii="Times New Roman" w:hAnsi="Times New Roman" w:cs="Times New Roman"/>
        </w:rPr>
        <w:t>(Cantwell et al., 2012, 2017; Zarestky et al., 2022)</w:t>
      </w:r>
      <w:r w:rsidR="0070083E" w:rsidRPr="000704FD">
        <w:rPr>
          <w:rFonts w:ascii="Times New Roman" w:hAnsi="Times New Roman" w:cs="Times New Roman"/>
        </w:rPr>
        <w:fldChar w:fldCharType="end"/>
      </w:r>
      <w:r w:rsidR="00FA5DB8" w:rsidRPr="000704FD">
        <w:rPr>
          <w:rFonts w:ascii="Times New Roman" w:hAnsi="Times New Roman" w:cs="Times New Roman"/>
        </w:rPr>
        <w:t xml:space="preserve">. </w:t>
      </w:r>
      <w:r w:rsidRPr="008744CF">
        <w:rPr>
          <w:rFonts w:ascii="Times New Roman" w:hAnsi="Times New Roman" w:cs="Times New Roman"/>
        </w:rPr>
        <w:t>Within this context, AI may support metacognitive processes through immediacy, alternative perspectives, and structured prompting</w:t>
      </w:r>
      <w:r w:rsidR="00261DE7" w:rsidRPr="000704FD">
        <w:rPr>
          <w:rFonts w:ascii="Times New Roman" w:hAnsi="Times New Roman" w:cs="Times New Roman"/>
        </w:rPr>
        <w:t xml:space="preserve"> </w:t>
      </w:r>
      <w:r w:rsidR="00D105F0" w:rsidRPr="000704FD">
        <w:rPr>
          <w:rFonts w:ascii="Times New Roman" w:hAnsi="Times New Roman" w:cs="Times New Roman"/>
        </w:rPr>
        <w:fldChar w:fldCharType="begin"/>
      </w:r>
      <w:r w:rsidR="00D105F0" w:rsidRPr="000704FD">
        <w:rPr>
          <w:rFonts w:ascii="Times New Roman" w:hAnsi="Times New Roman" w:cs="Times New Roman"/>
        </w:rPr>
        <w:instrText xml:space="preserve"> ADDIN ZOTERO_ITEM CSL_CITATION {"citationID":"qHZWMCCU","properties":{"formattedCitation":"(Karaoglan Yilmaz &amp; Yilmaz, 2025; Lin, 2023)","plainCitation":"(Karaoglan Yilmaz &amp; Yilmaz, 2025; Lin, 2023)","noteIndex":0},"citationItems":[{"id":16746,"uris":["http://zotero.org/users/14842315/items/DZ69UQ7S"],"itemData":{"id":16746,"type":"article-journal","abstract":"The use of generative artificial intelligence (GenAI) tools for educational purposes is rapidly becoming widespread. Having a negative attitude may lead to the failure of the integration of these tools. Therefore, it is important to explore the factors that affect students’ attitudes towards GenAI tools. In this context, our current study aims to explore the relationship between self-regulated learning skills (SRLS), cognitive flexibility, metacognitive awareness and students’ GenAI attitude. In this direction, a correlational study was conducted on 761 university students with GenAI experience, and structural equation modelling (SEM) analysis was performed. Our findings as a result of the analysis show that SRLS and cognitive flexibility have a significant positive effect on GenAI attitudes. In addition, metacognitive awareness is understood to indirectly affect GenAI attitudes by affecting SRLS and cognitive flexibility. These results reveal the importance of SRLS, cognitive flexibility and metacognitive awareness in promoting positive attitudes towards GenAI tools.","container-title":"Innovations in Education and Teaching International","DOI":"10.1080/14703297.2025.2484613","ISSN":"1470-3297, 1470-3300","issue":"5","journalAbbreviation":"Innovations in Education and Teaching International","language":"en","page":"1682-1695","source":"DOI.org (Crossref)","title":"Exploring the role of self-regulated learnings skills, cognitive flexibility, and metacognitive awareness on generative artificial intelligence attitude","volume":"62","author":[{"family":"Karaoglan Yilmaz","given":"Fatma Gizem"},{"family":"Yilmaz","given":"Ramazan"}],"issued":{"date-parts":[["2025",9,3]]}}},{"id":6825,"uris":["http://zotero.org/users/14842315/items/B5Z8PVVZ"],"itemData":{"id":6825,"type":"article-journal","abstract":"Generative artificial intelligence (AI), including large language models (LLMs), is poised to transform scientific research, enabling researchers to elevate their research productivity. This article presents a how-to guide for employing LLMs in academic settings, focusing on their unique strengths, constraints and implications through the lens of philosophy of science and epistemology. Using ChatGPT as a case study, I identify and elaborate on three attributes contributing to its effectiveness—intelligence, versatility and collaboration—accompanied by tips on crafting effective prompts, practical use cases and a living resource online (https://osf.io/8vpwu/). Next, I evaluate the limitations of generative AI and its implications for ethical use, equality and education. Regarding ethical and responsible use, I argue from technical and epistemic standpoints that there is no need to restrict the scope or nature of AI assistance, provided that its use is transparently disclosed. A pressing challenge, however, lies in detecting fake research, which can be mitigated by embracing open science practices, such as transparent peer review and sharing data, code and materials. Addressing equality, I contend that while generative AI may promote equality for some, it may simultaneously exacerbate disparities for others—an issue with potentially significant yet unclear ramifications as it unfolds. Lastly, I consider the implications for education, advocating for active engagement with LLMs and cultivating students' critical thinking and analytical skills. The how-to guide seeks to empower researchers with the knowledge and resources necessary to effectively harness generative AI while navigating the complex ethical dilemmas intrinsic to its application.","container-title":"Royal Society Open Science","DOI":"10.1098/rsos.230658","ISSN":"2054-5703","issue":"8","journalAbbreviation":"R. Soc. open sci.","language":"en","page":"230658","source":"DOI.org (Crossref)","title":"Why and how to embrace AI such as ChatGPT in your academic life","volume":"10","author":[{"family":"Lin","given":"Zhicheng"}],"issued":{"date-parts":[["2023",8]]}}}],"schema":"https://github.com/citation-style-language/schema/raw/master/csl-citation.json"} </w:instrText>
      </w:r>
      <w:r w:rsidR="00D105F0" w:rsidRPr="000704FD">
        <w:rPr>
          <w:rFonts w:ascii="Times New Roman" w:hAnsi="Times New Roman" w:cs="Times New Roman"/>
        </w:rPr>
        <w:fldChar w:fldCharType="separate"/>
      </w:r>
      <w:r w:rsidR="00D105F0" w:rsidRPr="000704FD">
        <w:rPr>
          <w:rFonts w:ascii="Times New Roman" w:hAnsi="Times New Roman" w:cs="Times New Roman"/>
        </w:rPr>
        <w:t>(Karaoglan Yilmaz &amp; Yilmaz, 2025; Lin, 2023)</w:t>
      </w:r>
      <w:r w:rsidR="00D105F0" w:rsidRPr="000704FD">
        <w:rPr>
          <w:rFonts w:ascii="Times New Roman" w:hAnsi="Times New Roman" w:cs="Times New Roman"/>
        </w:rPr>
        <w:fldChar w:fldCharType="end"/>
      </w:r>
      <w:r w:rsidR="00D105F0" w:rsidRPr="000704FD">
        <w:rPr>
          <w:rFonts w:ascii="Times New Roman" w:hAnsi="Times New Roman" w:cs="Times New Roman"/>
        </w:rPr>
        <w:t>.</w:t>
      </w:r>
      <w:r w:rsidR="004E088B" w:rsidRPr="000704FD">
        <w:rPr>
          <w:rFonts w:ascii="Times New Roman" w:hAnsi="Times New Roman" w:cs="Times New Roman"/>
        </w:rPr>
        <w:t xml:space="preserve"> </w:t>
      </w:r>
      <w:r w:rsidRPr="008744CF">
        <w:rPr>
          <w:rFonts w:ascii="Times New Roman" w:hAnsi="Times New Roman" w:cs="Times New Roman"/>
        </w:rPr>
        <w:t>However, students must also engage with opaque or “black box” systems whose outputs are useful without being fully traceable, shifting the task from receiving information to evaluating and judging it in practice</w:t>
      </w:r>
      <w:r>
        <w:rPr>
          <w:rFonts w:ascii="Times New Roman" w:hAnsi="Times New Roman" w:cs="Times New Roman"/>
        </w:rPr>
        <w:t xml:space="preserve"> </w:t>
      </w:r>
      <w:r w:rsidR="004E088B" w:rsidRPr="000704FD">
        <w:rPr>
          <w:rFonts w:ascii="Times New Roman" w:hAnsi="Times New Roman" w:cs="Times New Roman"/>
        </w:rPr>
        <w:fldChar w:fldCharType="begin"/>
      </w:r>
      <w:r w:rsidR="004E088B" w:rsidRPr="000704FD">
        <w:rPr>
          <w:rFonts w:ascii="Times New Roman" w:hAnsi="Times New Roman" w:cs="Times New Roman"/>
        </w:rPr>
        <w:instrText xml:space="preserve"> ADDIN ZOTERO_ITEM CSL_CITATION {"citationID":"MQe415tf","properties":{"formattedCitation":"(Bearman &amp; Ajjawi, 2023)","plainCitation":"(Bearman &amp; Ajjawi, 2023)","noteIndex":0},"citationItems":[{"id":16778,"uris":["http://zotero.org/users/14842315/items/WUT62Y6Y"],"itemData":{"id":16778,"type":"article-journal","abstract":"Artificial intelligence (AI) is increasingly integrating into our society. University education needs to maintain its relevance in an AI-mediated world, but the higher education sector is only beginning to engage deeply with the implications of AI within society. We define AI according to a relational epistemology, where, in the context of a particular interaction, a computational artefact provides a judgement about an optimal course of action and that this judgement cannot be traced. Therefore, by definition, AI must always act as a ‘black box’. Rather than seeking to explain ‘black boxes’, we argue that a pedagogy for an AI-mediated world involves learning to work with opaque, partial and ambiguous situations, which reflect the entangled relationships between people and technologies. Such a pedagogy asks learners locate AI as socially bounded, where AI is always understood within the contexts of its use. We outline two particular approaches to achieve this: (a) orienting students to quality standards that surround AIs, what might be called the tacit and explicit ‘rules of the game’; and (b) providing meaningful interactions with AI systems.","container-title":"British Journal of Educational Technology","DOI":"10.1111/bjet.13337","ISSN":"0007-1013, 1467-8535","issue":"5","journalAbbreviation":"Brit J Educational Tech","language":"en","page":"1160-1173","source":"DOI.org (Crossref)","title":"Learning to work with the black box: Pedagogy for a world with artificial intelligence","title-short":"Learning to work with the black box","volume":"54","author":[{"family":"Bearman","given":"Margaret"},{"family":"Ajjawi","given":"Rola"}],"issued":{"date-parts":[["2023",9]]}}}],"schema":"https://github.com/citation-style-language/schema/raw/master/csl-citation.json"} </w:instrText>
      </w:r>
      <w:r w:rsidR="004E088B" w:rsidRPr="000704FD">
        <w:rPr>
          <w:rFonts w:ascii="Times New Roman" w:hAnsi="Times New Roman" w:cs="Times New Roman"/>
        </w:rPr>
        <w:fldChar w:fldCharType="separate"/>
      </w:r>
      <w:r w:rsidR="004E088B" w:rsidRPr="000704FD">
        <w:rPr>
          <w:rFonts w:ascii="Times New Roman" w:hAnsi="Times New Roman" w:cs="Times New Roman"/>
        </w:rPr>
        <w:t>(Bearman &amp; Ajjawi, 2023)</w:t>
      </w:r>
      <w:r w:rsidR="004E088B" w:rsidRPr="000704FD">
        <w:rPr>
          <w:rFonts w:ascii="Times New Roman" w:hAnsi="Times New Roman" w:cs="Times New Roman"/>
        </w:rPr>
        <w:fldChar w:fldCharType="end"/>
      </w:r>
      <w:r w:rsidR="004E088B" w:rsidRPr="000704FD">
        <w:rPr>
          <w:rFonts w:ascii="Times New Roman" w:hAnsi="Times New Roman" w:cs="Times New Roman"/>
        </w:rPr>
        <w:t xml:space="preserve">. </w:t>
      </w:r>
      <w:r w:rsidRPr="008744CF">
        <w:rPr>
          <w:rFonts w:ascii="Times New Roman" w:hAnsi="Times New Roman" w:cs="Times New Roman"/>
        </w:rPr>
        <w:t>At the same time, critical scholarship emphasizes that generative AI is not neutral, but reflects underlying values and assumptions that shape how it is interpreted and used</w:t>
      </w:r>
      <w:r w:rsidR="0078524A" w:rsidRPr="000704FD">
        <w:rPr>
          <w:rFonts w:ascii="Times New Roman" w:hAnsi="Times New Roman" w:cs="Times New Roman"/>
        </w:rPr>
        <w:t xml:space="preserve"> </w:t>
      </w:r>
      <w:r w:rsidR="00231619" w:rsidRPr="000704FD">
        <w:rPr>
          <w:rFonts w:ascii="Times New Roman" w:hAnsi="Times New Roman" w:cs="Times New Roman"/>
        </w:rPr>
        <w:fldChar w:fldCharType="begin"/>
      </w:r>
      <w:r w:rsidR="00231619" w:rsidRPr="000704FD">
        <w:rPr>
          <w:rFonts w:ascii="Times New Roman" w:hAnsi="Times New Roman" w:cs="Times New Roman"/>
        </w:rPr>
        <w:instrText xml:space="preserve"> ADDIN ZOTERO_ITEM CSL_CITATION {"citationID":"OvCUij7r","properties":{"formattedCitation":"(Bozkurt et al., 2024)","plainCitation":"(Bozkurt et al., 2024)","noteIndex":0},"citationItems":[{"id":18628,"uris":["http://zotero.org/users/14842315/items/NMFKXPBP"],"itemData":{"id":18628,"type":"article-journal","abstract":"This manifesto critically examines the unfolding integration of Generative AI (GenAI), chatbots, and algorithms into higher education, using a collective and thoughtful approach to navigate the future of teaching and learning. GenAI, while celebrated for its potential to personalize learning, enhance efficiency, and expand educational accessibility, is far from a neutral tool. Algorithms now shape human interaction, communication, and content creation, raising profound questions about human agency and biases and values embedded in their designs. As GenAI continues to evolve, we face critical challenges in maintaining human oversight, safeguarding equity, and facilitating meaningful, authentic learning experiences. This manifesto emphasizes that GenAI is not ideologically and culturally neutral. Instead, it reflects worldviews that can reinforce existing biases and marginalize diverse voices. Furthermore, as the use of GenAI reshapes education, it risks eroding essential human elements—creativity, critical thinking, and empathy—and could displace meaningful human interactions with algorithmic solutions. This manifesto calls for robust, evidence-based research and conscious decision-making to ensure that GenAI enhances, rather than diminishes, human agency and ethical responsibility in education.","container-title":"Open Praxis","DOI":"10.55982/openpraxis.16.4.777","ISSN":"2304-070X","issue":"4","language":"en","page":"487-513","source":"DOI.org (Crossref)","title":"The Manifesto for Teaching and Learning in a Time of Generative AI: A Critical Collective Stance to Better Navigate the Future","title-short":"The Manifesto for Teaching and Learning in a Time of Generative AI","volume":"16","author":[{"family":"Bozkurt","given":"Aras"},{"family":"Xiao","given":"Junhong"},{"family":"Farrow","given":"Robert"},{"family":"Bai","given":"John Y. H."},{"family":"Nerantzi","given":"Chrissi"},{"family":"Moore","given":"Stephanie"},{"family":"Dron","given":"Jon"},{"family":"Stracke","given":"Christian M."},{"family":"Singh","given":"Lenandlar"},{"family":"Crompton","given":"Helen"},{"family":"Koutropoulos","given":"Apostolos"},{"family":"Terentev","given":"Evgenii"},{"family":"Pazurek","given":"Angelica"},{"family":"Nichols","given":"Mark"},{"family":"Sidorkin","given":"Alexander M."},{"family":"Costello","given":"Eamon"},{"family":"Watson","given":"Steven"},{"family":"Mulligan","given":"Dónal"},{"family":"Honeychurch","given":"Sarah"},{"family":"Hodges","given":"Charles B."},{"family":"Sharples","given":"Mike"},{"family":"Swindell","given":"Andrew"},{"family":"Frumin","given":"Isak"},{"family":"Tlili","given":"Ahmed"},{"family":"Slagter Van Tryon","given":"Patricia J."},{"family":"Bond","given":"Melissa"},{"family":"Bali","given":"Maha"},{"family":"Leng","given":"Jing"},{"family":"Zhang","given":"Kai"},{"family":"Cukurova","given":"Mutlu"},{"family":"Chiu","given":"Thomas K. F."},{"family":"Lee","given":"Kyungmee"},{"family":"Hrastinski","given":"Stefan"},{"family":"Garcia","given":"Manuel B."},{"family":"Sharma","given":"Ramesh Chander"},{"family":"Alexander","given":"Bryan"},{"family":"Zawacki-Richter","given":"Olaf"},{"family":"Huijser","given":"Henk"},{"family":"Jandrić","given":"Petar"},{"family":"Zheng","given":"Chanjin"},{"family":"Shea","given":"Peter"},{"family":"Duart","given":"Josep M."},{"family":"Themeli","given":"Chryssa"},{"family":"Vorochkov","given":"Anton"},{"family":"Sani-Bozkurt","given":"Sunagül"},{"family":"Moore","given":"Robert L."},{"family":"Asino","given":"Tutaleni Iita"}],"issued":{"date-parts":[["2024",11,29]]}}}],"schema":"https://github.com/citation-style-language/schema/raw/master/csl-citation.json"} </w:instrText>
      </w:r>
      <w:r w:rsidR="00231619" w:rsidRPr="000704FD">
        <w:rPr>
          <w:rFonts w:ascii="Times New Roman" w:hAnsi="Times New Roman" w:cs="Times New Roman"/>
        </w:rPr>
        <w:fldChar w:fldCharType="separate"/>
      </w:r>
      <w:r w:rsidR="00231619" w:rsidRPr="000704FD">
        <w:rPr>
          <w:rFonts w:ascii="Times New Roman" w:hAnsi="Times New Roman" w:cs="Times New Roman"/>
        </w:rPr>
        <w:t>(Bozkurt et al., 2024)</w:t>
      </w:r>
      <w:r w:rsidR="00231619" w:rsidRPr="000704FD">
        <w:rPr>
          <w:rFonts w:ascii="Times New Roman" w:hAnsi="Times New Roman" w:cs="Times New Roman"/>
        </w:rPr>
        <w:fldChar w:fldCharType="end"/>
      </w:r>
      <w:r w:rsidR="00231619" w:rsidRPr="000704FD">
        <w:rPr>
          <w:rFonts w:ascii="Times New Roman" w:hAnsi="Times New Roman" w:cs="Times New Roman"/>
        </w:rPr>
        <w:t xml:space="preserve">. </w:t>
      </w:r>
      <w:r w:rsidR="00D93180" w:rsidRPr="00D93180">
        <w:rPr>
          <w:rFonts w:ascii="Times New Roman" w:hAnsi="Times New Roman" w:cs="Times New Roman"/>
        </w:rPr>
        <w:t>Together, these perspectives position AI-supported learning as an interpretive, context-dependent phenomenon rather than a purely technical tool.</w:t>
      </w:r>
    </w:p>
    <w:p w14:paraId="28A95EF1" w14:textId="478BCA59" w:rsidR="00442BFC" w:rsidRPr="000704FD" w:rsidRDefault="00D93180" w:rsidP="000704FD">
      <w:pPr>
        <w:spacing w:line="240" w:lineRule="auto"/>
        <w:ind w:firstLine="720"/>
        <w:rPr>
          <w:rFonts w:ascii="Times New Roman" w:hAnsi="Times New Roman" w:cs="Times New Roman"/>
        </w:rPr>
      </w:pPr>
      <w:r w:rsidRPr="00D93180">
        <w:rPr>
          <w:rFonts w:ascii="Times New Roman" w:hAnsi="Times New Roman" w:cs="Times New Roman"/>
        </w:rPr>
        <w:t xml:space="preserve">In response, this study examines how graduate students make sense of AI-supported learning within a research methods course. Drawing on a hermeneutic qualitative approach, </w:t>
      </w:r>
      <w:r w:rsidRPr="00D93180">
        <w:rPr>
          <w:rFonts w:ascii="Times New Roman" w:hAnsi="Times New Roman" w:cs="Times New Roman"/>
        </w:rPr>
        <w:lastRenderedPageBreak/>
        <w:t xml:space="preserve">student reflections are treated as contextual and evolving texts through which meanings are constructed, revised, and sometimes held in tension over time. </w:t>
      </w:r>
      <w:proofErr w:type="gramStart"/>
      <w:r w:rsidRPr="00D93180">
        <w:rPr>
          <w:rFonts w:ascii="Times New Roman" w:hAnsi="Times New Roman" w:cs="Times New Roman"/>
        </w:rPr>
        <w:t>Particular attention</w:t>
      </w:r>
      <w:proofErr w:type="gramEnd"/>
      <w:r w:rsidRPr="00D93180">
        <w:rPr>
          <w:rFonts w:ascii="Times New Roman" w:hAnsi="Times New Roman" w:cs="Times New Roman"/>
        </w:rPr>
        <w:t xml:space="preserve"> is given to how AI is experienced as a low-risk space for exploration and how interpretations are shaped by instructional modeling, peer practices, and institutional discourse. Through longitudinal analysis, the study foregrounds how students’ understandings of AI shift in relation to perceived risk, task demands, and developing expertise, illuminating how learning environments shape both patterns of use and interpretations of meaning</w:t>
      </w:r>
      <w:r w:rsidR="008E2A1E" w:rsidRPr="000704FD">
        <w:rPr>
          <w:rFonts w:ascii="Times New Roman" w:hAnsi="Times New Roman" w:cs="Times New Roman"/>
        </w:rPr>
        <w:t>.</w:t>
      </w:r>
    </w:p>
    <w:p w14:paraId="56A61CE4" w14:textId="59F9C880" w:rsidR="00442BFC" w:rsidRPr="000704FD" w:rsidRDefault="004628B3" w:rsidP="000704FD">
      <w:pPr>
        <w:spacing w:line="240" w:lineRule="auto"/>
        <w:jc w:val="center"/>
        <w:rPr>
          <w:rFonts w:ascii="Times New Roman" w:hAnsi="Times New Roman" w:cs="Times New Roman"/>
          <w:b/>
          <w:bCs/>
        </w:rPr>
      </w:pPr>
      <w:r w:rsidRPr="000704FD">
        <w:rPr>
          <w:rFonts w:ascii="Times New Roman" w:hAnsi="Times New Roman" w:cs="Times New Roman"/>
          <w:b/>
          <w:bCs/>
        </w:rPr>
        <w:t>Literature Review</w:t>
      </w:r>
    </w:p>
    <w:p w14:paraId="48169D55" w14:textId="16596E53" w:rsidR="008F0220" w:rsidRPr="000704FD" w:rsidRDefault="00FB4052" w:rsidP="00937E49">
      <w:pPr>
        <w:spacing w:line="240" w:lineRule="auto"/>
        <w:rPr>
          <w:rFonts w:ascii="Times New Roman" w:hAnsi="Times New Roman" w:cs="Times New Roman"/>
        </w:rPr>
      </w:pPr>
      <w:r w:rsidRPr="000704FD">
        <w:rPr>
          <w:rFonts w:ascii="Times New Roman" w:hAnsi="Times New Roman" w:cs="Times New Roman"/>
        </w:rPr>
        <w:tab/>
      </w:r>
      <w:r w:rsidR="00844CBF" w:rsidRPr="00844CBF">
        <w:rPr>
          <w:rFonts w:ascii="Times New Roman" w:hAnsi="Times New Roman" w:cs="Times New Roman"/>
        </w:rPr>
        <w:t>As a qualitative interpretive study situated within a rapidly expanding body of scholarship on AI in higher education, this review provides the conceptual framing for the study. Although research has grown quickly, recent syntheses indicate that much of this work focuses on system development, instructional effectiveness, prediction, and measurable outcomes, with comparatively limited attention to learners’ interpretation, regulation, and sensemaking</w:t>
      </w:r>
      <w:r w:rsidR="00844CBF">
        <w:rPr>
          <w:rFonts w:ascii="Times New Roman" w:hAnsi="Times New Roman" w:cs="Times New Roman"/>
        </w:rPr>
        <w:t xml:space="preserve"> </w:t>
      </w:r>
      <w:r w:rsidR="00D105F0" w:rsidRPr="000704FD">
        <w:rPr>
          <w:rFonts w:ascii="Times New Roman" w:hAnsi="Times New Roman" w:cs="Times New Roman"/>
          <w:b/>
          <w:bCs/>
        </w:rPr>
        <w:fldChar w:fldCharType="begin"/>
      </w:r>
      <w:r w:rsidR="00B634FB">
        <w:rPr>
          <w:rFonts w:ascii="Times New Roman" w:hAnsi="Times New Roman" w:cs="Times New Roman"/>
          <w:b/>
          <w:bCs/>
        </w:rPr>
        <w:instrText xml:space="preserve"> ADDIN ZOTERO_ITEM CSL_CITATION {"citationID":"gKdc1y5L","properties":{"formattedCitation":"(Al-Zahrani &amp; Alasmari, 2024; S. Wang et al., 2024; Zawacki-Richter et al., 2019, 2024)","plainCitation":"(Al-Zahrani &amp; Alasmari, 2024; S. Wang et al., 2024; Zawacki-Richter et al., 2019, 2024)","noteIndex":0},"citationItems":[{"id":16789,"uris":["http://zotero.org/users/14842315/items/8UBCB9HY"],"itemData":{"id":16789,"type":"article-journal","abstract":"Abstract\n            \n              The increasing prevalence of Artificial Intelligence (AI) in higher education underscores the necessity to explore its implications on ethical, social, and educational dynamics within the sector. This study aims to comprehensively investigate the impact of AI on higher education in Saudi Arabia, delving into stakeholders’ attitudes, perceptions, and expectations regarding its implementation. The research hones in on key facets of AI in higher education, encompassing its influence on teaching and learning, ethical and social implications, and the anticipated role of AI in the future. Employing a quantitative approach through an online survey questionnaire (\n              N\n               = 1113), this study reveals positive attitudes toward AI in higher education. Stakeholders recognize its potential to enhance teaching and learning, streamline administration, and foster innovation. Emphasis is placed on ethical considerations and guidelines for AI implementation, highlighting the imperative need to address issues such as privacy, security, and bias. Participants envision a future characterized by personalized learning experiences, ethically integrated AI, collaboration, and ongoing support for lifelong learning. Furthermore, the results illuminate the intricate interplay between AI usage, purposes, difficulties, and their impact on attitudes, perceptions, and future implications. Accordingly, the research underscores the necessity for a comprehensive understanding of AI integration, considering not only its technical aspects but also the ethical, social, and educational dimensions. By acknowledging the role of AI uses, AI usage purposes, and addressing associated difficulties, educational stakeholders can work towards harnessing the benefits of AI while ensuring responsible and effective implementation in teaching and learning contexts.","container-title":"Humanities and Social Sciences Communications","DOI":"10.1057/s41599-024-03432-4","ISSN":"2662-9992","issue":"1","journalAbbreviation":"Humanit Soc Sci Commun","language":"en","page":"912","source":"DOI.org (Crossref)","title":"Exploring the impact of artificial intelligence on higher education: The dynamics of ethical, social, and educational implications","title-short":"Exploring the impact of artificial intelligence on higher education","volume":"11","author":[{"family":"Al-Zahrani","given":"Abdulrahman M."},{"family":"Alasmari","given":"Talal M."}],"issued":{"date-parts":[["2024",7,13]]}}},{"id":16791,"uris":["http://zotero.org/users/14842315/items/9ID28Y9Y"],"itemData":{"id":16791,"type":"article-journal","abstract":"Artificial intelligence (AI) in education (AIED) has evolved into a substantial body of literature with diverse perspectives. In this review paper, we seek insights into three critical questions: (1) What are the primary categories of AI applications explored in the education field? (2) What are the predominant research topics and their key findings? (3) What is the status of major research design elements, including guiding theories, methodologies, and research contexts? A bibliometric analysis of 2,223 research articles followed by a content analysis of selected 125 papers reveals a comprehensive conceptual structure of the existing literature. The extant AIED research spans a wide spectrum of applications, encompassing those for adaptive learning and personalized tutoring, intelligent assessment and management, profiling and prediction, and emerging products. Research topics delve into both the technical design of education systems and the examination of the adoption, impacts, and challenges associated with AIED. Furthermore, this review highlights the diverse range of theories applied in the AIED literature, the multidisciplinary nature of publication venues, and underexplored research areas. In sum, this research offers valuable insights for interested scholars to comprehend the current state of AIED research and identify future research opportunities in this dynamic field.","container-title":"Expert Systems with Applications","DOI":"10.1016/j.eswa.2024.124167","ISSN":"09574174","issue":"A","journalAbbreviation":"Expert Systems with Applications","language":"en","page":"124167","source":"DOI.org (Crossref)","title":"Artificial intelligence in education: A systematic literature review","title-short":"Artificial intelligence in education","volume":"252","author":[{"family":"Wang","given":"Shan"},{"family":"Wang","given":"Fang"},{"family":"Zhu","given":"Zhen"},{"family":"Wang","given":"Jingxuan"},{"family":"Tran","given":"Tam"},{"family":"Du","given":"Zhao"}],"issued":{"date-parts":[["2024",10]]}}},{"id":18637,"uris":["http://zotero.org/users/14842315/items/T4I8B6US"],"itemData":{"id":18637,"type":"article-journal","abstract":"According to various international reports, Artificial Intelligence in Education (AIEd) is one of the currently emerging fields in educational technology. Whilst it has been around for about 30 years, it is still unclear for educators how to make pedagogical advantage of it on a broader scale, and how it can actually impact meaningfully on teaching and learning in higher education. This paper seeks to provide an overview of research on AI applications in higher education through a systematic review. Out of 2656 initially identified publications for the period between 2007 and 2018, 146 articles were included for final synthesis, according to explicit inclusion and exclusion criteria. The descriptive results show that most of the disciplines involved in AIEd papers come from Computer Science and STEM, and that quantitative methods were the most frequently used in empirical studies. The synthesis of results presents four areas of AIEd applications in academic support services, and institutional and administrative services: 1. profiling and prediction, 2. assessment and evaluation, 3. adaptive systems and personalisation, and 4. intelligent tutoring systems. The conclusions reflect on the almost lack of critical reflection of challenges and risks of AIEd, the weak connection to theoretical pedagogical perspectives, and the need for further exploration of ethical and educational approaches in the application of AIEd in higher education.","container-title":"International Journal of Educational Technology in Higher Education","DOI":"10.1186/s41239-019-0171-0","ISSN":"2365-9440","issue":"1","journalAbbreviation":"Int J Educ Technol High Educ","language":"en","page":"39","source":"DOI.org (Crossref)","title":"Systematic review of research on artificial intelligence applications in higher education – where are the educators?","volume":"16","author":[{"family":"Zawacki-Richter","given":"Olaf"},{"family":"Marín","given":"Victoria I."},{"family":"Bond","given":"Melissa"},{"family":"Gouverneur","given":"Franziska"}],"issued":{"date-parts":[["2019",12]]}}},{"id":18638,"uris":["http://zotero.org/users/14842315/items/TYZ9HKMF"],"itemData":{"id":18638,"type":"article-journal","container-title":"International Journal of Educational Technology in Higher Education","DOI":"10.1186/s41239-024-00464-3","ISSN":"2365-9440","issue":"1","journalAbbreviation":"Int J Educ Technol High Educ","language":"en","page":"32, s41239-024-00464-3","source":"DOI.org (Crossref)","title":"New advances in artificial intelligence applications in higher education?","volume":"21","author":[{"family":"Zawacki-Richter","given":"Olaf"},{"family":"Bai","given":"John Y. H."},{"family":"Lee","given":"Kyungmee"},{"family":"Slagter Van Tryon","given":"Patricia J."},{"family":"Prinsloo","given":"Paul"}],"issued":{"date-parts":[["2024",5,2]]}}}],"schema":"https://github.com/citation-style-language/schema/raw/master/csl-citation.json"} </w:instrText>
      </w:r>
      <w:r w:rsidR="00D105F0" w:rsidRPr="000704FD">
        <w:rPr>
          <w:rFonts w:ascii="Times New Roman" w:hAnsi="Times New Roman" w:cs="Times New Roman"/>
          <w:b/>
          <w:bCs/>
        </w:rPr>
        <w:fldChar w:fldCharType="separate"/>
      </w:r>
      <w:r w:rsidR="00B634FB" w:rsidRPr="00B634FB">
        <w:rPr>
          <w:rFonts w:ascii="Times New Roman" w:hAnsi="Times New Roman" w:cs="Times New Roman"/>
        </w:rPr>
        <w:t>(Al-Zahrani &amp; Alasmari, 2024; S. Wang et al., 2024; Zawacki-Richter et al., 2019, 2024)</w:t>
      </w:r>
      <w:r w:rsidR="00D105F0" w:rsidRPr="000704FD">
        <w:rPr>
          <w:rFonts w:ascii="Times New Roman" w:hAnsi="Times New Roman" w:cs="Times New Roman"/>
          <w:b/>
          <w:bCs/>
        </w:rPr>
        <w:fldChar w:fldCharType="end"/>
      </w:r>
      <w:r w:rsidR="0093208F" w:rsidRPr="000704FD">
        <w:rPr>
          <w:rFonts w:ascii="Times New Roman" w:hAnsi="Times New Roman" w:cs="Times New Roman"/>
          <w:b/>
          <w:bCs/>
        </w:rPr>
        <w:t>.</w:t>
      </w:r>
      <w:r w:rsidR="00F53C77" w:rsidRPr="000704FD">
        <w:rPr>
          <w:rFonts w:ascii="Times New Roman" w:hAnsi="Times New Roman" w:cs="Times New Roman"/>
          <w:b/>
          <w:bCs/>
        </w:rPr>
        <w:t xml:space="preserve"> </w:t>
      </w:r>
      <w:r w:rsidR="001D19B8" w:rsidRPr="000704FD">
        <w:rPr>
          <w:rFonts w:ascii="Times New Roman" w:hAnsi="Times New Roman" w:cs="Times New Roman"/>
        </w:rPr>
        <w:t xml:space="preserve">Within graduate education specifically, this emphasis has yielded important insights into what AI can do </w:t>
      </w:r>
      <w:r w:rsidR="001D19B8" w:rsidRPr="000704FD">
        <w:rPr>
          <w:rFonts w:ascii="Times New Roman" w:hAnsi="Times New Roman" w:cs="Times New Roman"/>
        </w:rPr>
        <w:fldChar w:fldCharType="begin"/>
      </w:r>
      <w:r w:rsidR="001D19B8" w:rsidRPr="000704FD">
        <w:rPr>
          <w:rFonts w:ascii="Times New Roman" w:hAnsi="Times New Roman" w:cs="Times New Roman"/>
        </w:rPr>
        <w:instrText xml:space="preserve"> ADDIN ZOTERO_ITEM CSL_CITATION {"citationID":"55Dc1Ce9","properties":{"formattedCitation":"(Bista &amp; Bista, 2025; Xu &amp; Shen, 2026)","plainCitation":"(Bista &amp; Bista, 2025; Xu &amp; Shen, 2026)","noteIndex":0},"citationItems":[{"id":18643,"uris":["http://zotero.org/users/14842315/items/G4JL7Y8E"],"itemData":{"id":18643,"type":"article-journal","abstract":"This study explores the application of artificial intelligence (AI) tools such as ChatGPT, Google Gemini, and Microsoft Copilot in enhancing academic writing and critical thinking among doctoral students at a historically Black college and university (HBCU) in the United States. Through a qualitative case study approach involving doctoral students throughout a summer semester, data were collected via assignments, written artifacts, and semi-structured interviews. The thematic analysis reveals students' perceptions of the effectiveness of these AI tools in enhancing academic writing and critical thinking skills. Findings highlight the practical benefits, such as improved clarity and efficiency in writing, alongside challenges like occasional inaccuracies and ethical considerations. The study underscores the potential of AI to transform educational practices, advocating for its thoughtful integration to support academic integrity and innovation. Future research should explore more robust error-checking features and personalized learning experiences to maximize the utility of AI in higher education.","container-title":"American Journal of STEM Education: Issues and Perspectives","DOI":"https://doi.org/10.32674/9m8dq081","language":"en","page":"32-47","source":"Zotero","title":"Leveraging AI Tools in Academic Writing: Insights from Doctoral Students on Benefits and Challenges","volume":"6","author":[{"family":"Bista","given":"Krishna"},{"family":"Bista","given":"Rajendra"}],"issued":{"date-parts":[["2025"]]}}},{"id":18657,"uris":["http://zotero.org/users/14842315/items/VBUPC7PH"],"itemData":{"id":18657,"type":"article-journal","abstract":"The rapid spread of generative artificial intelligence (GenAI) is reshaping doctoral education and raising new questions about its implications for research practice and performance. Using large-scale data from the 2025 Chinese National Doctoral Graduates Survey, this study examines how doctoral students adopt GenAI and how different modes of engagement are associated with research performance. Latent class analysis identifies three usage modes: Textual Tool (51.4%), Task Assistant (43.8%), and Thought Partner (4.8%). Ordered logit results show that deeper modes of engagement are more likely among students with STEM backgrounds, interdisciplinary experience, intrinsic motivation, and lower satisfaction with supervisory guidance. Associations between GenAI use and research performance vary systematically by mode and discipline. Textual Tool use is mainly linked to gains in publication productivity, whereas the more comprehensive integration represented by Thought Partner is associated with improvements in dissertation quality. Disciplinary contexts further condition these patterns. In abstract and conceptually oriented fields such as the humanities and mathematics, GenAI use is largely concentrated on text-related functions and is associated with modest, primarily quantitybased outcomes. By contrast, in computational and experimental domains including economics, physics, computer science, and engineering, deeper engagement through Task Assistant and Thought Partner use is more consistently associated with higher research productivity and quality indicators. Overall, the findings highlight that the implications of GenAI for doctoral research depend on how it is integrated into disciplinary research practices, underscoring the need for discipline-sensitive approaches to GenAI governance in doctoral education.","container-title":"Studies in Higher Education","DOI":"10.1080/03075079.2026.2625386","ISSN":"0307-5079, 1470-174X","journalAbbreviation":"Studies in Higher Education","language":"en","page":"1-16","source":"DOI.org (Crossref)","title":"From tool to partner: generative AI usage patterns and research performance among doctoral students","title-short":"From tool to partner","author":[{"family":"Xu","given":"Haotian"},{"family":"Shen","given":"Wenqin"}],"issued":{"date-parts":[["2026",2,3]]}}}],"schema":"https://github.com/citation-style-language/schema/raw/master/csl-citation.json"} </w:instrText>
      </w:r>
      <w:r w:rsidR="001D19B8" w:rsidRPr="000704FD">
        <w:rPr>
          <w:rFonts w:ascii="Times New Roman" w:hAnsi="Times New Roman" w:cs="Times New Roman"/>
        </w:rPr>
        <w:fldChar w:fldCharType="separate"/>
      </w:r>
      <w:r w:rsidR="001D19B8" w:rsidRPr="000704FD">
        <w:rPr>
          <w:rFonts w:ascii="Times New Roman" w:hAnsi="Times New Roman" w:cs="Times New Roman"/>
        </w:rPr>
        <w:t>(Bista &amp; Bista, 2025; Xu &amp; Shen, 2026)</w:t>
      </w:r>
      <w:r w:rsidR="001D19B8" w:rsidRPr="000704FD">
        <w:rPr>
          <w:rFonts w:ascii="Times New Roman" w:hAnsi="Times New Roman" w:cs="Times New Roman"/>
        </w:rPr>
        <w:fldChar w:fldCharType="end"/>
      </w:r>
      <w:r w:rsidR="002B0F23" w:rsidRPr="000704FD">
        <w:rPr>
          <w:rFonts w:ascii="Times New Roman" w:hAnsi="Times New Roman" w:cs="Times New Roman"/>
        </w:rPr>
        <w:t xml:space="preserve">, </w:t>
      </w:r>
      <w:r w:rsidR="00937E49" w:rsidRPr="00937E49">
        <w:rPr>
          <w:rFonts w:ascii="Times New Roman" w:hAnsi="Times New Roman" w:cs="Times New Roman"/>
        </w:rPr>
        <w:t>while comparatively less attention has been given to how students experience AI as they navigate uncertainty and make judgments about legitimacy during research learning. At the same time, AI adoption remains characterized by ambiguity, experimentation, and evolving norms rather than stable pedagogical consensus, underscoring the importance of examining interpretation within specific instructional contexts</w:t>
      </w:r>
      <w:r w:rsidR="00937E49">
        <w:rPr>
          <w:rFonts w:ascii="Times New Roman" w:hAnsi="Times New Roman" w:cs="Times New Roman"/>
        </w:rPr>
        <w:t xml:space="preserve"> </w:t>
      </w:r>
      <w:r w:rsidR="008F0220" w:rsidRPr="000704FD">
        <w:rPr>
          <w:rFonts w:ascii="Times New Roman" w:hAnsi="Times New Roman" w:cs="Times New Roman"/>
        </w:rPr>
        <w:fldChar w:fldCharType="begin"/>
      </w:r>
      <w:r w:rsidR="008F0220" w:rsidRPr="000704FD">
        <w:rPr>
          <w:rFonts w:ascii="Times New Roman" w:hAnsi="Times New Roman" w:cs="Times New Roman"/>
        </w:rPr>
        <w:instrText xml:space="preserve"> ADDIN ZOTERO_ITEM CSL_CITATION {"citationID":"WcO7rVJN","properties":{"formattedCitation":"(Cefa et al., 2025; Xiao et al., 2025)","plainCitation":"(Cefa et al., 2025; Xiao et al., 2025)","noteIndex":0},"citationItems":[{"id":18629,"uris":["http://zotero.org/users/14842315/items/6DUWNEDP"],"itemData":{"id":18629,"type":"article-journal","abstract":"Immediately after its public launch in November 2022, ChatGPT quickly gained widespread attention across various research fields, including education. The excitement surrounding ChatGPT is not an isolated event as education experienced other innovations that heralded the novelty as a potential game-changer in learner support and teaching. Open, Distance, and Digital Education (ODDE) scholars, along with critical educational technology (edtech) researchers, have long argued that technological affordances must be examined alongside their constraints. This study scopes the early academic response to ChatGPT, mapping the emerging discourse through bibliometric and content analysis. Using a corpus of 217 papers published from November 2022 to July 2023, we identify key themes, methodological trends, disciplinary perspectives, and geographic distributions. Through network analysis of keywords, titles, and abstracts, and a deeper content analysis of full texts, we explore how scholarly discussions framed ChatGPT’s implications for education. Beyond documenting initial reactions, this study provides a lens on how educational research engages with rapid technological shifts in an evolving landscape of AI in education.","container-title":"Open Praxis","DOI":"https://doi.org/10.55982/ openpraxis.17.2.872","issue":"2","language":"en","page":"227-250","source":"Zotero","title":"Responses to the initial hype: ChatGPT supporting teaching, learning, and scholarship?","volume":"17","author":[{"family":"Cefa","given":"Berrin"},{"family":"Macgilchrist","given":"Felicitas"},{"family":"ElGamal","given":"Hebatullah"},{"family":"Bai","given":"John Y. H."},{"family":"Zawacki-Richter","given":"Olaf"}],"issued":{"date-parts":[["2025"]]}}},{"id":18635,"uris":["http://zotero.org/users/14842315/items/IX28PSM3"],"itemData":{"id":18635,"type":"article-journal","abstract":"Advocates of AI in Education (AIEd) assert that the current generation of technologies, collectively dubbed artificial intelligence, including generative artificial intelligence (GenAI), promise results that can transform our conceptions of what education looks like. Therefore, it is imperative to investigate how educators perceive GenAI and its potential use and future impact on education. Adopting the methodology of collective writing as an inquiry, this study reports on the participating educators’ perceived grey areas (i.e. issues that are unclear and/or controversial) and recommendations on future research. The grey areas reported cover decision-making on the use of GenAI, AI ethics, appropriate levels of use of GenAI in education, impact on learning and teaching, policy, data, GenAI outputs, humans in the loop and public–private partnerships. Recommended directions for future research include learning and teaching, ethical and legal implications, ownership/authorship, funding, technology, research support, AI metaphor and types of research. Each theme or subtheme is presented in the form of a statement, followed by a justification. These findings serve as a call to action to encourage a continuing debate around GenAI and to engage more educators in research. The paper concludes that unless we can ask the right questions now, we may find that, in the pursuit of greater efficiency, we have lost the very essence of what it means to educate and learn.","container-title":"TechTrends","DOI":"10.1007/s11528-025-01060-6","ISSN":"8756-3894, 1559-7075","issue":"3","journalAbbreviation":"TechTrends","language":"en","page":"582-597","source":"DOI.org (Crossref)","title":"Venturing into the Unknown: Critical Insights into Grey Areas and Pioneering Future Directions in Educational Generative AI Research","title-short":"Venturing into the Unknown","volume":"69","author":[{"family":"Xiao","given":"Junhong"},{"family":"Bozkurt","given":"Aras"},{"family":"Nichols","given":"Mark"},{"family":"Pazurek","given":"Angelica"},{"family":"Stracke","given":"Christian M."},{"family":"Bai","given":"John Y. H."},{"family":"Farrow","given":"Robert"},{"family":"Mulligan","given":"Dónal"},{"family":"Nerantzi","given":"Chrissi"},{"family":"Sharma","given":"Ramesh Chander"},{"family":"Singh","given":"Lenandlar"},{"family":"Frumin","given":"Isak"},{"family":"Swindell","given":"Andrew"},{"family":"Honeychurch","given":"Sarah"},{"family":"Bond","given":"Melissa"},{"family":"Dron","given":"Jon"},{"family":"Moore","given":"Stephanie"},{"family":"Leng","given":"Jing"},{"family":"Van Tryon","given":"Patricia J. Slagter"},{"family":"Garcia","given":"Manuel"},{"family":"Terentev","given":"Evgeniy"},{"family":"Tlili","given":"Ahmed"},{"family":"Chiu","given":"Thomas K. F."},{"family":"Hodges","given":"Charles B."},{"family":"Jandrić","given":"Petar"},{"family":"Sidorkin","given":"Alexander"},{"family":"Crompton","given":"Helen"},{"family":"Hrastinski","given":"Stefan"},{"family":"Koutropoulos","given":"Apostolos"},{"family":"Cukurova","given":"Mutlu"},{"family":"Shea","given":"Peter"},{"family":"Watson","given":"Steven"},{"family":"Zhang","given":"Kai"},{"family":"Lee","given":"Kyungmee"},{"family":"Costello","given":"Eamon"},{"family":"Sharples","given":"Mike"},{"family":"Vorochkov","given":"Anton"},{"family":"Alexander","given":"Bryan"},{"family":"Bali","given":"Maha"},{"family":"Moore","given":"Robert L."},{"family":"Zawacki-Richter","given":"Olaf"},{"family":"Asino","given":"Tutaleni Iita"},{"family":"Huijser","given":"Henk"},{"family":"Zheng","given":"Chanjin"},{"family":"Sani-Bozkurt","given":"Sunagül"},{"family":"Duart","given":"Josep M."},{"family":"Themeli","given":"Chryssa"}],"issued":{"date-parts":[["2025",5]]}}}],"schema":"https://github.com/citation-style-language/schema/raw/master/csl-citation.json"} </w:instrText>
      </w:r>
      <w:r w:rsidR="008F0220" w:rsidRPr="000704FD">
        <w:rPr>
          <w:rFonts w:ascii="Times New Roman" w:hAnsi="Times New Roman" w:cs="Times New Roman"/>
        </w:rPr>
        <w:fldChar w:fldCharType="separate"/>
      </w:r>
      <w:r w:rsidR="008F0220" w:rsidRPr="000704FD">
        <w:rPr>
          <w:rFonts w:ascii="Times New Roman" w:hAnsi="Times New Roman" w:cs="Times New Roman"/>
        </w:rPr>
        <w:t>(Cefa et al., 2025; Xiao et al., 2025)</w:t>
      </w:r>
      <w:r w:rsidR="008F0220" w:rsidRPr="000704FD">
        <w:rPr>
          <w:rFonts w:ascii="Times New Roman" w:hAnsi="Times New Roman" w:cs="Times New Roman"/>
        </w:rPr>
        <w:fldChar w:fldCharType="end"/>
      </w:r>
      <w:r w:rsidR="008F0220" w:rsidRPr="000704FD">
        <w:rPr>
          <w:rFonts w:ascii="Times New Roman" w:hAnsi="Times New Roman" w:cs="Times New Roman"/>
        </w:rPr>
        <w:t xml:space="preserve">. </w:t>
      </w:r>
    </w:p>
    <w:p w14:paraId="1398DFC0" w14:textId="490F2C66" w:rsidR="00E26BE3" w:rsidRPr="000704FD" w:rsidRDefault="00937E49" w:rsidP="000704FD">
      <w:pPr>
        <w:spacing w:line="240" w:lineRule="auto"/>
        <w:ind w:firstLine="720"/>
        <w:rPr>
          <w:rFonts w:ascii="Times New Roman" w:hAnsi="Times New Roman" w:cs="Times New Roman"/>
        </w:rPr>
      </w:pPr>
      <w:r w:rsidRPr="00937E49">
        <w:rPr>
          <w:rFonts w:ascii="Times New Roman" w:hAnsi="Times New Roman" w:cs="Times New Roman"/>
        </w:rPr>
        <w:t>Emerging research suggests that doctoral students often experience AI as both practically helpful and ethically unsettled, valuing its support for writing and idea development while recognizing the need for verification and judgment</w:t>
      </w:r>
      <w:r w:rsidR="00EF4E9E" w:rsidRPr="000704FD">
        <w:rPr>
          <w:rFonts w:ascii="Times New Roman" w:hAnsi="Times New Roman" w:cs="Times New Roman"/>
        </w:rPr>
        <w:t xml:space="preserve"> </w:t>
      </w:r>
      <w:r w:rsidR="009470C1" w:rsidRPr="000704FD">
        <w:rPr>
          <w:rFonts w:ascii="Times New Roman" w:hAnsi="Times New Roman" w:cs="Times New Roman"/>
        </w:rPr>
        <w:fldChar w:fldCharType="begin"/>
      </w:r>
      <w:r w:rsidR="009470C1" w:rsidRPr="000704FD">
        <w:rPr>
          <w:rFonts w:ascii="Times New Roman" w:hAnsi="Times New Roman" w:cs="Times New Roman"/>
        </w:rPr>
        <w:instrText xml:space="preserve"> ADDIN ZOTERO_ITEM CSL_CITATION {"citationID":"dP5jurX9","properties":{"formattedCitation":"(Bista &amp; Bista, 2025)","plainCitation":"(Bista &amp; Bista, 2025)","noteIndex":0},"citationItems":[{"id":18643,"uris":["http://zotero.org/users/14842315/items/G4JL7Y8E"],"itemData":{"id":18643,"type":"article-journal","abstract":"This study explores the application of artificial intelligence (AI) tools such as ChatGPT, Google Gemini, and Microsoft Copilot in enhancing academic writing and critical thinking among doctoral students at a historically Black college and university (HBCU) in the United States. Through a qualitative case study approach involving doctoral students throughout a summer semester, data were collected via assignments, written artifacts, and semi-structured interviews. The thematic analysis reveals students' perceptions of the effectiveness of these AI tools in enhancing academic writing and critical thinking skills. Findings highlight the practical benefits, such as improved clarity and efficiency in writing, alongside challenges like occasional inaccuracies and ethical considerations. The study underscores the potential of AI to transform educational practices, advocating for its thoughtful integration to support academic integrity and innovation. Future research should explore more robust error-checking features and personalized learning experiences to maximize the utility of AI in higher education.","container-title":"American Journal of STEM Education: Issues and Perspectives","DOI":"https://doi.org/10.32674/9m8dq081","language":"en","page":"32-47","source":"Zotero","title":"Leveraging AI Tools in Academic Writing: Insights from Doctoral Students on Benefits and Challenges","volume":"6","author":[{"family":"Bista","given":"Krishna"},{"family":"Bista","given":"Rajendra"}],"issued":{"date-parts":[["2025"]]}}}],"schema":"https://github.com/citation-style-language/schema/raw/master/csl-citation.json"} </w:instrText>
      </w:r>
      <w:r w:rsidR="009470C1" w:rsidRPr="000704FD">
        <w:rPr>
          <w:rFonts w:ascii="Times New Roman" w:hAnsi="Times New Roman" w:cs="Times New Roman"/>
        </w:rPr>
        <w:fldChar w:fldCharType="separate"/>
      </w:r>
      <w:r w:rsidR="009470C1" w:rsidRPr="000704FD">
        <w:rPr>
          <w:rFonts w:ascii="Times New Roman" w:hAnsi="Times New Roman" w:cs="Times New Roman"/>
        </w:rPr>
        <w:t>(Bista &amp; Bista, 2025)</w:t>
      </w:r>
      <w:r w:rsidR="009470C1" w:rsidRPr="000704FD">
        <w:rPr>
          <w:rFonts w:ascii="Times New Roman" w:hAnsi="Times New Roman" w:cs="Times New Roman"/>
        </w:rPr>
        <w:fldChar w:fldCharType="end"/>
      </w:r>
      <w:r w:rsidR="009470C1" w:rsidRPr="000704FD">
        <w:rPr>
          <w:rFonts w:ascii="Times New Roman" w:hAnsi="Times New Roman" w:cs="Times New Roman"/>
        </w:rPr>
        <w:t xml:space="preserve">. </w:t>
      </w:r>
      <w:r w:rsidRPr="00937E49">
        <w:rPr>
          <w:rFonts w:ascii="Times New Roman" w:hAnsi="Times New Roman" w:cs="Times New Roman"/>
        </w:rPr>
        <w:t>Recent work also reflects a shift from viewing AI as a tool toward positioning it as a collaborative partner in research, with usage patterns linked to differences in productivity and performance</w:t>
      </w:r>
      <w:r w:rsidR="00771A45" w:rsidRPr="000704FD">
        <w:rPr>
          <w:rFonts w:ascii="Times New Roman" w:hAnsi="Times New Roman" w:cs="Times New Roman"/>
        </w:rPr>
        <w:t xml:space="preserve"> </w:t>
      </w:r>
      <w:r w:rsidR="00771A45" w:rsidRPr="000704FD">
        <w:rPr>
          <w:rFonts w:ascii="Times New Roman" w:hAnsi="Times New Roman" w:cs="Times New Roman"/>
        </w:rPr>
        <w:fldChar w:fldCharType="begin"/>
      </w:r>
      <w:r w:rsidR="00771A45" w:rsidRPr="000704FD">
        <w:rPr>
          <w:rFonts w:ascii="Times New Roman" w:hAnsi="Times New Roman" w:cs="Times New Roman"/>
        </w:rPr>
        <w:instrText xml:space="preserve"> ADDIN ZOTERO_ITEM CSL_CITATION {"citationID":"DSUAkDS3","properties":{"formattedCitation":"(Xu &amp; Shen, 2026)","plainCitation":"(Xu &amp; Shen, 2026)","noteIndex":0},"citationItems":[{"id":18657,"uris":["http://zotero.org/users/14842315/items/VBUPC7PH"],"itemData":{"id":18657,"type":"article-journal","abstract":"The rapid spread of generative artificial intelligence (GenAI) is reshaping doctoral education and raising new questions about its implications for research practice and performance. Using large-scale data from the 2025 Chinese National Doctoral Graduates Survey, this study examines how doctoral students adopt GenAI and how different modes of engagement are associated with research performance. Latent class analysis identifies three usage modes: Textual Tool (51.4%), Task Assistant (43.8%), and Thought Partner (4.8%). Ordered logit results show that deeper modes of engagement are more likely among students with STEM backgrounds, interdisciplinary experience, intrinsic motivation, and lower satisfaction with supervisory guidance. Associations between GenAI use and research performance vary systematically by mode and discipline. Textual Tool use is mainly linked to gains in publication productivity, whereas the more comprehensive integration represented by Thought Partner is associated with improvements in dissertation quality. Disciplinary contexts further condition these patterns. In abstract and conceptually oriented fields such as the humanities and mathematics, GenAI use is largely concentrated on text-related functions and is associated with modest, primarily quantitybased outcomes. By contrast, in computational and experimental domains including economics, physics, computer science, and engineering, deeper engagement through Task Assistant and Thought Partner use is more consistently associated with higher research productivity and quality indicators. Overall, the findings highlight that the implications of GenAI for doctoral research depend on how it is integrated into disciplinary research practices, underscoring the need for discipline-sensitive approaches to GenAI governance in doctoral education.","container-title":"Studies in Higher Education","DOI":"10.1080/03075079.2026.2625386","ISSN":"0307-5079, 1470-174X","journalAbbreviation":"Studies in Higher Education","language":"en","page":"1-16","source":"DOI.org (Crossref)","title":"From tool to partner: generative AI usage patterns and research performance among doctoral students","title-short":"From tool to partner","author":[{"family":"Xu","given":"Haotian"},{"family":"Shen","given":"Wenqin"}],"issued":{"date-parts":[["2026",2,3]]}}}],"schema":"https://github.com/citation-style-language/schema/raw/master/csl-citation.json"} </w:instrText>
      </w:r>
      <w:r w:rsidR="00771A45" w:rsidRPr="000704FD">
        <w:rPr>
          <w:rFonts w:ascii="Times New Roman" w:hAnsi="Times New Roman" w:cs="Times New Roman"/>
        </w:rPr>
        <w:fldChar w:fldCharType="separate"/>
      </w:r>
      <w:r w:rsidR="00771A45" w:rsidRPr="000704FD">
        <w:rPr>
          <w:rFonts w:ascii="Times New Roman" w:hAnsi="Times New Roman" w:cs="Times New Roman"/>
        </w:rPr>
        <w:t>(Xu &amp; Shen, 2026)</w:t>
      </w:r>
      <w:r w:rsidR="00771A45" w:rsidRPr="000704FD">
        <w:rPr>
          <w:rFonts w:ascii="Times New Roman" w:hAnsi="Times New Roman" w:cs="Times New Roman"/>
        </w:rPr>
        <w:fldChar w:fldCharType="end"/>
      </w:r>
      <w:r w:rsidR="00771A45" w:rsidRPr="000704FD">
        <w:rPr>
          <w:rFonts w:ascii="Times New Roman" w:hAnsi="Times New Roman" w:cs="Times New Roman"/>
        </w:rPr>
        <w:t xml:space="preserve">. </w:t>
      </w:r>
      <w:r w:rsidR="000A3682" w:rsidRPr="000A3682">
        <w:rPr>
          <w:rFonts w:ascii="Times New Roman" w:hAnsi="Times New Roman" w:cs="Times New Roman"/>
        </w:rPr>
        <w:t>In parallel, AI has been conceptualized as a metacognitive partner capable of supporting planning, monitoring, and reflection within structured learning environments</w:t>
      </w:r>
      <w:r w:rsidR="00771A45" w:rsidRPr="000704FD">
        <w:rPr>
          <w:rFonts w:ascii="Times New Roman" w:hAnsi="Times New Roman" w:cs="Times New Roman"/>
        </w:rPr>
        <w:t xml:space="preserve"> </w:t>
      </w:r>
      <w:r w:rsidR="00771A45" w:rsidRPr="000704FD">
        <w:rPr>
          <w:rFonts w:ascii="Times New Roman" w:hAnsi="Times New Roman" w:cs="Times New Roman"/>
        </w:rPr>
        <w:fldChar w:fldCharType="begin"/>
      </w:r>
      <w:r w:rsidR="00771A45" w:rsidRPr="000704FD">
        <w:rPr>
          <w:rFonts w:ascii="Times New Roman" w:hAnsi="Times New Roman" w:cs="Times New Roman"/>
        </w:rPr>
        <w:instrText xml:space="preserve"> ADDIN ZOTERO_ITEM CSL_CITATION {"citationID":"PhfWs5wA","properties":{"formattedCitation":"(Hutson &amp; Plate, 2023)","plainCitation":"(Hutson &amp; Plate, 2023)","noteIndex":0},"citationItems":[{"id":18659,"uris":["http://zotero.org/users/14842315/items/RQ3R4FLH"],"itemData":{"id":18659,"type":"article-journal","abstract":"This chapter investigates the profound influence of intelligent virtual assistants (IVAs) on the educational domain, specifically in the realm of individualized learning and the instruction of writing abilities and content creation. IVAs, incorporating generative AI technologies such as ChatGPT and Stable Diffusion, hold the potential to bring about a paradigm shift in educational programs, emphasizing the enhancement of advanced metacognitive capacities rather than the fundamentals of communication. The subsequent recommendations stress the need to cultivate enduring proficiencies and ascertain tailored learning approaches for each learner, which will be indispensable for success in the evolving job market. In this context, prompt engineering is emerging as a vital competency, while continuous reskilling and lifelong learning become professional requisites. The proposed innovative method for teaching writing skills and content generation advocates for a reconfiguration of curricula to concentrate on applied learning techniques that accentuate the value of contextual judgment as a central pedagogical tenet and the mastery of sophisticated metacognitive abilities, which will be pivotal in the future of work.","container-title":"Faculty Scholarship","language":"en","license":"https://creativecommons.org/licenses/by/3.0/legalcode","source":"DOI.org (Crossref)","title":"Human-AI Collaboration for Smart Education: Reframing Applied Learning to Support Metacognition","title-short":"Human-AI Collaboration for Smart Education","URL":"https://digitalcommons.lindenwood.edu/faculty-research-papers/480","author":[{"family":"Hutson","given":"James"},{"family":"Plate","given":"Daniel"}],"accessed":{"date-parts":[["2026",4,2]]},"issued":{"date-parts":[["2023",6,15]]}}}],"schema":"https://github.com/citation-style-language/schema/raw/master/csl-citation.json"} </w:instrText>
      </w:r>
      <w:r w:rsidR="00771A45" w:rsidRPr="000704FD">
        <w:rPr>
          <w:rFonts w:ascii="Times New Roman" w:hAnsi="Times New Roman" w:cs="Times New Roman"/>
        </w:rPr>
        <w:fldChar w:fldCharType="separate"/>
      </w:r>
      <w:r w:rsidR="00771A45" w:rsidRPr="000704FD">
        <w:rPr>
          <w:rFonts w:ascii="Times New Roman" w:hAnsi="Times New Roman" w:cs="Times New Roman"/>
        </w:rPr>
        <w:t>(Hutson &amp; Plate, 2023)</w:t>
      </w:r>
      <w:r w:rsidR="00771A45" w:rsidRPr="000704FD">
        <w:rPr>
          <w:rFonts w:ascii="Times New Roman" w:hAnsi="Times New Roman" w:cs="Times New Roman"/>
        </w:rPr>
        <w:fldChar w:fldCharType="end"/>
      </w:r>
      <w:r w:rsidR="00771A45" w:rsidRPr="000704FD">
        <w:rPr>
          <w:rFonts w:ascii="Times New Roman" w:hAnsi="Times New Roman" w:cs="Times New Roman"/>
        </w:rPr>
        <w:t xml:space="preserve">. </w:t>
      </w:r>
      <w:r w:rsidR="000A3682" w:rsidRPr="000A3682">
        <w:rPr>
          <w:rFonts w:ascii="Times New Roman" w:hAnsi="Times New Roman" w:cs="Times New Roman"/>
        </w:rPr>
        <w:t>At the same time, AI use in doctoral work is often partially hidden, leaving students to negotiate uncertainty, trust, and legitimacy within evolving supervisory and institutional relationships</w:t>
      </w:r>
      <w:r w:rsidR="000A3682">
        <w:rPr>
          <w:rFonts w:ascii="Times New Roman" w:hAnsi="Times New Roman" w:cs="Times New Roman"/>
        </w:rPr>
        <w:t xml:space="preserve"> </w:t>
      </w:r>
      <w:r w:rsidR="00E26BE3" w:rsidRPr="000704FD">
        <w:rPr>
          <w:rFonts w:ascii="Times New Roman" w:hAnsi="Times New Roman" w:cs="Times New Roman"/>
        </w:rPr>
        <w:fldChar w:fldCharType="begin"/>
      </w:r>
      <w:r w:rsidR="00E26BE3" w:rsidRPr="000704FD">
        <w:rPr>
          <w:rFonts w:ascii="Times New Roman" w:hAnsi="Times New Roman" w:cs="Times New Roman"/>
        </w:rPr>
        <w:instrText xml:space="preserve"> ADDIN ZOTERO_ITEM CSL_CITATION {"citationID":"ccIoBKQe","properties":{"formattedCitation":"(Boyd &amp; Harding, 2025)","plainCitation":"(Boyd &amp; Harding, 2025)","noteIndex":0},"citationItems":[{"id":18645,"uris":["http://zotero.org/users/14842315/items/IBXKGLJI"],"itemData":{"id":18645,"type":"article-journal","abstract":"The uptake of generative artificial intelligence (GenAI) tools has implications for doctoral research and academic publication practices within both construction management and the wider academic context. Unless these implications are understood, GenAI tools have the potential to disrupt traditional relationships between doctoral researchers and their academic supervisors. Rather than exploring the technical competence and reach of GenAI tools, this study explores the nature of these challenges. GenAI is explored from both supervisor and doctoral perspectives for how its integration into doctoral research processes might shift relationships and affect practice. Informed by structuration theory, the research uses mixed methods to map shifts in agency and structure resulting from the adoption of GenAI tools. Findings highlight that the often-unacknowledged use of GenAI in doctoral research can confer undue agency on the technology that disrupts traditional relationships in an unacknowledged way. The rapid but often unacknowledged uptake of GenAI within doctoral research comes with a lack of consideration of the emotional support ascribed by students to the technology. It is concluded that GenAI tools should be openly incorporated into research and practice in a transparent, integrated approach.","container-title":"Buildings &amp; Cities","DOI":"10.5334/bc.560","ISSN":"2632-6655","issue":"1","journalAbbreviation":"B&amp;C","language":"en","license":"https://creativecommons.org/licenses/by/4.0","source":"DOI.org (Crossref)","title":"Generative AI: reconfiguring supervision and doctoral research","title-short":"Generative AI","URL":"https://account.journal-buildingscities.org/index.php/up-j-bc/article/view/560","volume":"6","author":[{"family":"Boyd","given":"Philippa"},{"family":"Harding","given":"Debs"}],"accessed":{"date-parts":[["2026",4,2]]},"issued":{"date-parts":[["2025",6,19]]}}}],"schema":"https://github.com/citation-style-language/schema/raw/master/csl-citation.json"} </w:instrText>
      </w:r>
      <w:r w:rsidR="00E26BE3" w:rsidRPr="000704FD">
        <w:rPr>
          <w:rFonts w:ascii="Times New Roman" w:hAnsi="Times New Roman" w:cs="Times New Roman"/>
        </w:rPr>
        <w:fldChar w:fldCharType="separate"/>
      </w:r>
      <w:r w:rsidR="00E26BE3" w:rsidRPr="000704FD">
        <w:rPr>
          <w:rFonts w:ascii="Times New Roman" w:hAnsi="Times New Roman" w:cs="Times New Roman"/>
        </w:rPr>
        <w:t>(Boyd &amp; Harding, 2025)</w:t>
      </w:r>
      <w:r w:rsidR="00E26BE3" w:rsidRPr="000704FD">
        <w:rPr>
          <w:rFonts w:ascii="Times New Roman" w:hAnsi="Times New Roman" w:cs="Times New Roman"/>
        </w:rPr>
        <w:fldChar w:fldCharType="end"/>
      </w:r>
      <w:r w:rsidR="00E26BE3" w:rsidRPr="000704FD">
        <w:rPr>
          <w:rFonts w:ascii="Times New Roman" w:hAnsi="Times New Roman" w:cs="Times New Roman"/>
        </w:rPr>
        <w:t>.</w:t>
      </w:r>
    </w:p>
    <w:p w14:paraId="02A6245D" w14:textId="7A91CA9B" w:rsidR="00FA5DB8" w:rsidRPr="000704FD" w:rsidRDefault="000A3682" w:rsidP="000704FD">
      <w:pPr>
        <w:spacing w:line="240" w:lineRule="auto"/>
        <w:ind w:firstLine="720"/>
        <w:rPr>
          <w:rFonts w:ascii="Times New Roman" w:hAnsi="Times New Roman" w:cs="Times New Roman"/>
        </w:rPr>
      </w:pPr>
      <w:proofErr w:type="gramStart"/>
      <w:r w:rsidRPr="000A3682">
        <w:rPr>
          <w:rFonts w:ascii="Times New Roman" w:hAnsi="Times New Roman" w:cs="Times New Roman"/>
        </w:rPr>
        <w:t>Taken</w:t>
      </w:r>
      <w:proofErr w:type="gramEnd"/>
      <w:r w:rsidRPr="000A3682">
        <w:rPr>
          <w:rFonts w:ascii="Times New Roman" w:hAnsi="Times New Roman" w:cs="Times New Roman"/>
        </w:rPr>
        <w:t xml:space="preserve"> together, these perspectives suggest that AI-supported learning must be understood in relation to how learners interpret and position AI within their academic work. An interpretive focus on metacognition and sensemaking therefore provides a complementary lens for understanding AI-supported learning as a cognitive, affective, and socially situated experience. This aligns with broader research on graduate learning, which emphasizes the centrality of reflection, judgment, and self-regulation in complex academic work</w:t>
      </w:r>
      <w:r>
        <w:rPr>
          <w:rFonts w:ascii="Times New Roman" w:hAnsi="Times New Roman" w:cs="Times New Roman"/>
        </w:rPr>
        <w:t xml:space="preserve"> </w:t>
      </w:r>
      <w:r w:rsidR="00FA5DB8" w:rsidRPr="000704FD">
        <w:rPr>
          <w:rFonts w:ascii="Times New Roman" w:hAnsi="Times New Roman" w:cs="Times New Roman"/>
        </w:rPr>
        <w:fldChar w:fldCharType="begin"/>
      </w:r>
      <w:r w:rsidR="00FA5DB8" w:rsidRPr="000704FD">
        <w:rPr>
          <w:rFonts w:ascii="Times New Roman" w:hAnsi="Times New Roman" w:cs="Times New Roman"/>
        </w:rPr>
        <w:instrText xml:space="preserve"> ADDIN ZOTERO_ITEM CSL_CITATION {"citationID":"4wV4rb8y","properties":{"formattedCitation":"(Cantwell et al., 2017; Negretti, 2021; Santelmann et al., 2018)","plainCitation":"(Cantwell et al., 2017; Negretti, 2021; Santelmann et al., 2018)","noteIndex":0},"citationItems":[{"id":18653,"uris":["http://zotero.org/users/14842315/items/LE6BDNQ7"],"itemData":{"id":18653,"type":"article-journal","container-title":"Studies in Higher Education","DOI":"10.1080/03075079.2015.1034263","ISSN":"0307-5079, 1470-174X","issue":"1","journalAbbreviation":"Studies in Higher Education","language":"en","page":"47-64","source":"DOI.org (Crossref)","title":"Doctoral candidates as learners: a study of individual differences in responses to learning and its management","title-short":"Doctoral candidates as learners","volume":"42","author":[{"family":"Cantwell","given":"Robert H."},{"family":"Bourke","given":"Sid F."},{"family":"Scevak","given":"Jill J."},{"family":"Holbrook","given":"Allyson P."},{"family":"Budd","given":"Janene"}],"issued":{"date-parts":[["2017",1,2]]}}},{"id":18632,"uris":["http://zotero.org/users/14842315/items/NAMGM64F"],"itemData":{"id":18632,"type":"article-journal","abstract":"What aspects of writing are doctoral students metacognitive about when they write research articles for publication? Contributing to the recent conversation about metacognition in genre pedagogy, this study adopts a qualitative approach to illustrate what students have in common, across disciplines and levels of expertise, and the dynamic interplay of genre knowledge and metacognition in learning to write for research. 24 doctoral students in STEM (science, technology, engineering, and mathematics) were recruited from subsequent runs of a genre-based writing course and were interviewed within a 2-year period when they submitted an article for publication, 3 to 11 months after course completion. Over time and across disciplines, doctoral students’ metacognition converges on four main themes: genre analysis as a “tool” to read and write, audience and the readers’ mind, rhetorical strategies, and the writing process. Furthermore, these themes are extensively combined in the students’ thinking, confirming conceptualizations of expertise as an integration of knowledge types. Metacognition of these themes invoked increased perceived confidence and control over writing, suggesting key areas where metacognitive intervention may be promising.","container-title":"Written Communication","DOI":"10.1177/0741088320984796","ISSN":"0741-0883, 1552-8472","issue":"2","journalAbbreviation":"Written Communication","language":"en","page":"167-207","source":"DOI.org (Crossref)","title":"Searching for Metacognitive Generalities: Areas of Convergence in Learning to Write for Publication Across Doctoral Students in Science and Engineering","title-short":"Searching for Metacognitive Generalities","volume":"38","author":[{"family":"Negretti","given":"Raffaella"}],"issued":{"date-parts":[["2021",4]]}}},{"id":18656,"uris":["http://zotero.org/users/14842315/items/9ZGFHCJ8"],"itemData":{"id":18656,"type":"article-journal","abstract":"Proﬁciency in writing is crucial for success in graduate school. While doctoral student writing has received attention in the research literature, little research has focused on master’s student writing. Master’s students need to be skilled writers in their professional lives, and have the same if not greater need for writing instruction as other graduate students. When writing is taught in graduate school, the instruction often focuses on content and text, not on the writing context and process. Recent research on academic writing suggests the importance of focusing on the behaviors, motivations, and cognitions that surround student writing, especially metacognitive awareness and self-regulation of the writing processes. This qualitative case study examined MA TESOL students’ reactions to classroom activities designed to teach metacognitive awareness of writing strategies, self-regulation of writing practices, and text strategies. Data collected included surveys and students’ writing plans. Five themes emerged from the data analysis. Students beneﬁtted from: Increased metacognitive awareness of writing practices, the focus on the social support of writing, the opportunity to review peers’ papers, discussion of the stress points around writing, and instruction about the text structures underlying academic writing. Suggestions for application of instructional practices to other writing programs are included.","container-title":"College Teaching","DOI":"10.1080/87567555.2018.1446898","ISSN":"8756-7555, 1930-8299","issue":"3","journalAbbreviation":"College Teaching","language":"en","page":"111-123","source":"DOI.org (Crossref)","title":"Fostering Master's Students' Metacognition and Self-Regulation Practices for Research Writing","volume":"66","author":[{"family":"Santelmann","given":"Lynn M."},{"family":"Stevens","given":"Dannelle D."},{"family":"Martin","given":"Staci B."}],"issued":{"date-parts":[["2018",7,3]]}}}],"schema":"https://github.com/citation-style-language/schema/raw/master/csl-citation.json"} </w:instrText>
      </w:r>
      <w:r w:rsidR="00FA5DB8" w:rsidRPr="000704FD">
        <w:rPr>
          <w:rFonts w:ascii="Times New Roman" w:hAnsi="Times New Roman" w:cs="Times New Roman"/>
        </w:rPr>
        <w:fldChar w:fldCharType="separate"/>
      </w:r>
      <w:r w:rsidR="00FA5DB8" w:rsidRPr="000704FD">
        <w:rPr>
          <w:rFonts w:ascii="Times New Roman" w:hAnsi="Times New Roman" w:cs="Times New Roman"/>
        </w:rPr>
        <w:t>(Cantwell et al., 2017; Negretti, 2021; Santelmann et al., 2018)</w:t>
      </w:r>
      <w:r w:rsidR="00FA5DB8" w:rsidRPr="000704FD">
        <w:rPr>
          <w:rFonts w:ascii="Times New Roman" w:hAnsi="Times New Roman" w:cs="Times New Roman"/>
        </w:rPr>
        <w:fldChar w:fldCharType="end"/>
      </w:r>
      <w:r w:rsidR="00FA5DB8" w:rsidRPr="000704FD">
        <w:rPr>
          <w:rFonts w:ascii="Times New Roman" w:hAnsi="Times New Roman" w:cs="Times New Roman"/>
        </w:rPr>
        <w:t xml:space="preserve">. </w:t>
      </w:r>
    </w:p>
    <w:p w14:paraId="2E4AEFF4" w14:textId="77777777" w:rsidR="00B634FB" w:rsidRDefault="00B634FB" w:rsidP="00B634FB">
      <w:pPr>
        <w:spacing w:line="240" w:lineRule="auto"/>
        <w:rPr>
          <w:rFonts w:ascii="Times New Roman" w:hAnsi="Times New Roman" w:cs="Times New Roman"/>
          <w:b/>
          <w:bCs/>
        </w:rPr>
      </w:pPr>
      <w:r w:rsidRPr="00B634FB">
        <w:rPr>
          <w:rFonts w:ascii="Times New Roman" w:hAnsi="Times New Roman" w:cs="Times New Roman"/>
          <w:b/>
          <w:bCs/>
        </w:rPr>
        <w:t>Metacognition, AI, and Interpretive Conditions of Learning</w:t>
      </w:r>
    </w:p>
    <w:p w14:paraId="6640FA36" w14:textId="278ED9EC" w:rsidR="00BA6D4E" w:rsidRPr="00BA6D4E" w:rsidRDefault="00BA6D4E" w:rsidP="00DE754A">
      <w:pPr>
        <w:spacing w:line="240" w:lineRule="auto"/>
        <w:ind w:firstLine="720"/>
        <w:rPr>
          <w:rFonts w:ascii="Times New Roman" w:hAnsi="Times New Roman" w:cs="Times New Roman"/>
        </w:rPr>
      </w:pPr>
      <w:r w:rsidRPr="00BA6D4E">
        <w:rPr>
          <w:rFonts w:ascii="Times New Roman" w:hAnsi="Times New Roman" w:cs="Times New Roman"/>
        </w:rPr>
        <w:t xml:space="preserve">Metacognition, commonly defined as planning, monitoring, and evaluating one’s cognitive processes, is foundational to graduate research learning, which requires students to navigate complex decisions, iterative feedback, and ongoing uncertainty </w:t>
      </w:r>
      <w:r w:rsidR="0088390D">
        <w:rPr>
          <w:rFonts w:ascii="Times New Roman" w:hAnsi="Times New Roman" w:cs="Times New Roman"/>
        </w:rPr>
        <w:fldChar w:fldCharType="begin"/>
      </w:r>
      <w:r w:rsidR="0088390D">
        <w:rPr>
          <w:rFonts w:ascii="Times New Roman" w:hAnsi="Times New Roman" w:cs="Times New Roman"/>
        </w:rPr>
        <w:instrText xml:space="preserve"> ADDIN ZOTERO_ITEM CSL_CITATION {"citationID":"EG0qXSZa","properties":{"formattedCitation":"(Cantwell et al., 2012; Flavell, 1979; Zarestky et al., 2022)","plainCitation":"(Cantwell et al., 2012; Flavell, 1979; Zarestky et al., 2022)","noteIndex":0},"citationItems":[{"id":18633,"uris":["http://zotero.org/users/14842315/items/ZNZDUDYL"],"itemData":{"id":18633,"type":"chapter","abstract":"This chapter addresses issues relating to quality learning in the specific context of doctoral study. As the elite level of formal education, doctoral study places a high level of expectation on candidates to contribute in an important and original way to the field of study. This expectation imposes a high metacognitive load on students, in appropriately conceptualising the task, and in managing the intellectual, affective, and contingency demands that accompany its enactment. We suggest that the regulatory control behaviours of doctoral candidates may best be explained by reference to a broader conception of metacognitive knowledge than has traditionally been employed. We conclude that the sources of regulatory activity are multi-dimensional, and describe them in terms of an active multidimensional epistemic metacognitive framework that establishes the parameters of subsequent regulatory activity.","container-title":"Enhancing the Quality of Learning","DOI":"10.1017/CBO9781139048224.007","edition":"1","ISBN":"978-1-139-04822-4","language":"en","page":"93-114","publisher":"Cambridge University Press","source":"DOI.org (Crossref)","title":"Individual Differences That Affect the Quality of Learning in Doctoral Candidates","URL":"https://www.cambridge.org/core/product/identifier/9781139048224%23c19942-5-1/type/book_part","editor":[{"family":"Kirby","given":"John R."},{"family":"Lawson","given":"Michael J."}],"author":[{"family":"Cantwell","given":"Robert H."},{"family":"Scevak","given":"Jill J."},{"family":"Bourke","given":"Sid"},{"family":"Holbrook","given":"Allyson"}],"accessed":{"date-parts":[["2026",4,2]]},"issued":{"date-parts":[["2012",5,21]]}}},{"id":6728,"uris":["http://zotero.org/users/14842315/items/3TPMFBU2"],"itemData":{"id":6728,"type":"article-journal","abstract":"Studies suggest that young children are quite limited in their knowledge about cognitive phenomena—or in their metacognition—and do relatively little monitoring of their own memory, comprehension, and other cognitive enterprises. Metacognitive knowledge is one's stored knowledge or beliefs about oneself and others as cognitive agents, about tasks, about actions or strategies, and about how all these interact to affect the outcomes of any sort of intellectual enterprise. Metacognitive experiences are conscious cognitive or affective experiences that occur during the enterprise and concern any aspect of it—often, how well it is going. Research is needed to describe and explain spontaneous developmental acquisitions in this area and find effective ways of teaching metacognitive knowledge and cognitive monitoring skills. (9 ref) (PsycINFO Database Record (c) 2016 APA, all rights reserved)","container-title":"American Psychologist","DOI":"10.1037/0003-066X.34.10.906","ISSN":"1935-990X(Electronic),0003-066X(Print)","issue":"10","note":"publisher-place: US","page":"906-911","publisher":"American Psychological Association","title":"Metacognition and cognitive monitoring: A new area of cognitive–developmental inquiry.","volume":"34","author":[{"family":"Flavell","given":"John H."}],"issued":{"date-parts":[["1979"]]}}},{"id":18642,"uris":["http://zotero.org/users/14842315/items/ZP2YW6DQ"],"itemData":{"id":18642,"type":"article-journal","abstract":"Computational Science and Engineering (CS&amp;E) is a relatively new discipline for which no consensus exists on how classes should best be taught. Many CS&amp;E courses are compressed add-ons to existing programs and, consequently, must cover a breadth of topics encompassing modules from mathematics, statistics, computer science, and application disciplines. Additionally, these courses would benefit from embedded 21st century skills, including problem-solving, critical thinking, and lifelong learning behaviors, but such skills are often neglected in course design even though the education and workforce literature are clear about their importance for future careers. The breadth and complexity in course design necessary to incorporate all of these components create a challenge for instructors and students. In this interpretive study, we investigate student experiences and perceived outcomes in a technology-mediated graduate-level CS&amp;E course designed to address the difficulties associated with this wide range of disciplinary topics and professional skills. Our course design is based on reflective practice and principles of metacognition, and applies elements such as a flipped classroom, student journals, and reflective writing exercises; these design goals directly support students’ metacognition and foster self-regulated learning behaviors that, in turn, develop critical thinking and problem-solving abilities. We evaluate this design using student reflective writing and surveys. Results indicate reflective writing activities in course design helped develop students’ metacognitive awareness, self-regulated learning behaviors, problemsolving, and critical thinking skills. This course design can serve as a template for others teaching technologymediated courses in CS&amp;E and related areas, and aiming to develop students’ 21st century professional skills.","container-title":"Computers and Education Open","DOI":"10.1016/j.caeo.2022.100085","ISSN":"26665573","journalAbbreviation":"Computers and Education Open","language":"en","page":"100085","source":"DOI.org (Crossref)","title":"Reflective Writing Supports Metacognition and Self-regulation in Graduate Computational Science and Engineering","volume":"3","author":[{"family":"Zarestky","given":"Jill"},{"family":"Bigler","given":"Michelle"},{"family":"Brazile","given":"Mollie"},{"family":"Lopes","given":"Tobin"},{"family":"Bangerth","given":"Wolfgang"}],"issued":{"date-parts":[["2022",12]]}}}],"schema":"https://github.com/citation-style-language/schema/raw/master/csl-citation.json"} </w:instrText>
      </w:r>
      <w:r w:rsidR="0088390D">
        <w:rPr>
          <w:rFonts w:ascii="Times New Roman" w:hAnsi="Times New Roman" w:cs="Times New Roman"/>
        </w:rPr>
        <w:fldChar w:fldCharType="separate"/>
      </w:r>
      <w:r w:rsidR="0088390D" w:rsidRPr="0088390D">
        <w:rPr>
          <w:rFonts w:ascii="Times New Roman" w:hAnsi="Times New Roman" w:cs="Times New Roman"/>
        </w:rPr>
        <w:t>(Cantwell et al., 2012; Flavell, 1979; Zarestky et al., 2022)</w:t>
      </w:r>
      <w:r w:rsidR="0088390D">
        <w:rPr>
          <w:rFonts w:ascii="Times New Roman" w:hAnsi="Times New Roman" w:cs="Times New Roman"/>
        </w:rPr>
        <w:fldChar w:fldCharType="end"/>
      </w:r>
      <w:r w:rsidRPr="00BA6D4E">
        <w:rPr>
          <w:rFonts w:ascii="Times New Roman" w:hAnsi="Times New Roman" w:cs="Times New Roman"/>
        </w:rPr>
        <w:t xml:space="preserve">. In academic writing and research contexts, metacognition </w:t>
      </w:r>
      <w:r w:rsidRPr="00BA6D4E">
        <w:rPr>
          <w:rFonts w:ascii="Times New Roman" w:hAnsi="Times New Roman" w:cs="Times New Roman"/>
        </w:rPr>
        <w:lastRenderedPageBreak/>
        <w:t xml:space="preserve">extends beyond general regulation to include awareness of audience, disciplinary expectations, and rhetorical strategy, all of which develop through reflection and social interaction </w:t>
      </w:r>
      <w:r w:rsidR="005F01C3">
        <w:rPr>
          <w:rFonts w:ascii="Times New Roman" w:hAnsi="Times New Roman" w:cs="Times New Roman"/>
        </w:rPr>
        <w:fldChar w:fldCharType="begin"/>
      </w:r>
      <w:r w:rsidR="005F01C3">
        <w:rPr>
          <w:rFonts w:ascii="Times New Roman" w:hAnsi="Times New Roman" w:cs="Times New Roman"/>
        </w:rPr>
        <w:instrText xml:space="preserve"> ADDIN ZOTERO_ITEM CSL_CITATION {"citationID":"locFvXZ9","properties":{"formattedCitation":"(Negretti, 2021; Santelmann et al., 2018)","plainCitation":"(Negretti, 2021; Santelmann et al., 2018)","noteIndex":0},"citationItems":[{"id":18632,"uris":["http://zotero.org/users/14842315/items/NAMGM64F"],"itemData":{"id":18632,"type":"article-journal","abstract":"What aspects of writing are doctoral students metacognitive about when they write research articles for publication? Contributing to the recent conversation about metacognition in genre pedagogy, this study adopts a qualitative approach to illustrate what students have in common, across disciplines and levels of expertise, and the dynamic interplay of genre knowledge and metacognition in learning to write for research. 24 doctoral students in STEM (science, technology, engineering, and mathematics) were recruited from subsequent runs of a genre-based writing course and were interviewed within a 2-year period when they submitted an article for publication, 3 to 11 months after course completion. Over time and across disciplines, doctoral students’ metacognition converges on four main themes: genre analysis as a “tool” to read and write, audience and the readers’ mind, rhetorical strategies, and the writing process. Furthermore, these themes are extensively combined in the students’ thinking, confirming conceptualizations of expertise as an integration of knowledge types. Metacognition of these themes invoked increased perceived confidence and control over writing, suggesting key areas where metacognitive intervention may be promising.","container-title":"Written Communication","DOI":"10.1177/0741088320984796","ISSN":"0741-0883, 1552-8472","issue":"2","journalAbbreviation":"Written Communication","language":"en","page":"167-207","source":"DOI.org (Crossref)","title":"Searching for Metacognitive Generalities: Areas of Convergence in Learning to Write for Publication Across Doctoral Students in Science and Engineering","title-short":"Searching for Metacognitive Generalities","volume":"38","author":[{"family":"Negretti","given":"Raffaella"}],"issued":{"date-parts":[["2021",4]]}}},{"id":18656,"uris":["http://zotero.org/users/14842315/items/9ZGFHCJ8"],"itemData":{"id":18656,"type":"article-journal","abstract":"Proﬁciency in writing is crucial for success in graduate school. While doctoral student writing has received attention in the research literature, little research has focused on master’s student writing. Master’s students need to be skilled writers in their professional lives, and have the same if not greater need for writing instruction as other graduate students. When writing is taught in graduate school, the instruction often focuses on content and text, not on the writing context and process. Recent research on academic writing suggests the importance of focusing on the behaviors, motivations, and cognitions that surround student writing, especially metacognitive awareness and self-regulation of the writing processes. This qualitative case study examined MA TESOL students’ reactions to classroom activities designed to teach metacognitive awareness of writing strategies, self-regulation of writing practices, and text strategies. Data collected included surveys and students’ writing plans. Five themes emerged from the data analysis. Students beneﬁtted from: Increased metacognitive awareness of writing practices, the focus on the social support of writing, the opportunity to review peers’ papers, discussion of the stress points around writing, and instruction about the text structures underlying academic writing. Suggestions for application of instructional practices to other writing programs are included.","container-title":"College Teaching","DOI":"10.1080/87567555.2018.1446898","ISSN":"8756-7555, 1930-8299","issue":"3","journalAbbreviation":"College Teaching","language":"en","page":"111-123","source":"DOI.org (Crossref)","title":"Fostering Master's Students' Metacognition and Self-Regulation Practices for Research Writing","volume":"66","author":[{"family":"Santelmann","given":"Lynn M."},{"family":"Stevens","given":"Dannelle D."},{"family":"Martin","given":"Staci B."}],"issued":{"date-parts":[["2018",7,3]]}}}],"schema":"https://github.com/citation-style-language/schema/raw/master/csl-citation.json"} </w:instrText>
      </w:r>
      <w:r w:rsidR="005F01C3">
        <w:rPr>
          <w:rFonts w:ascii="Times New Roman" w:hAnsi="Times New Roman" w:cs="Times New Roman"/>
        </w:rPr>
        <w:fldChar w:fldCharType="separate"/>
      </w:r>
      <w:r w:rsidR="005F01C3" w:rsidRPr="005F01C3">
        <w:rPr>
          <w:rFonts w:ascii="Times New Roman" w:hAnsi="Times New Roman" w:cs="Times New Roman"/>
        </w:rPr>
        <w:t>(Negretti, 2021; Santelmann et al., 2018)</w:t>
      </w:r>
      <w:r w:rsidR="005F01C3">
        <w:rPr>
          <w:rFonts w:ascii="Times New Roman" w:hAnsi="Times New Roman" w:cs="Times New Roman"/>
        </w:rPr>
        <w:fldChar w:fldCharType="end"/>
      </w:r>
      <w:r w:rsidR="005F01C3">
        <w:rPr>
          <w:rFonts w:ascii="Times New Roman" w:hAnsi="Times New Roman" w:cs="Times New Roman"/>
        </w:rPr>
        <w:t xml:space="preserve">. </w:t>
      </w:r>
      <w:r w:rsidRPr="00BA6D4E">
        <w:rPr>
          <w:rFonts w:ascii="Times New Roman" w:hAnsi="Times New Roman" w:cs="Times New Roman"/>
        </w:rPr>
        <w:t>These processes become more complex as new forms of technological support enter graduate learning environments.</w:t>
      </w:r>
    </w:p>
    <w:p w14:paraId="56246505" w14:textId="20AC5937" w:rsidR="00BA6D4E" w:rsidRPr="00BA6D4E" w:rsidRDefault="00BA6D4E" w:rsidP="00DE754A">
      <w:pPr>
        <w:spacing w:line="240" w:lineRule="auto"/>
        <w:ind w:firstLine="720"/>
        <w:rPr>
          <w:rFonts w:ascii="Times New Roman" w:hAnsi="Times New Roman" w:cs="Times New Roman"/>
        </w:rPr>
      </w:pPr>
      <w:r w:rsidRPr="00BA6D4E">
        <w:rPr>
          <w:rFonts w:ascii="Times New Roman" w:hAnsi="Times New Roman" w:cs="Times New Roman"/>
        </w:rPr>
        <w:t xml:space="preserve">Generative AI introduces a distinct form of support that both aligns with and departs from traditional scaffolding. While AI-mediated feedback has been shown to support writing quality, revision, and aspects of self-regulated learning </w:t>
      </w:r>
      <w:r w:rsidR="005F01C3">
        <w:rPr>
          <w:rFonts w:ascii="Times New Roman" w:hAnsi="Times New Roman" w:cs="Times New Roman"/>
        </w:rPr>
        <w:fldChar w:fldCharType="begin"/>
      </w:r>
      <w:r w:rsidR="005F01C3">
        <w:rPr>
          <w:rFonts w:ascii="Times New Roman" w:hAnsi="Times New Roman" w:cs="Times New Roman"/>
        </w:rPr>
        <w:instrText xml:space="preserve"> ADDIN ZOTERO_ITEM CSL_CITATION {"citationID":"BUKQ4E2N","properties":{"formattedCitation":"(Chen &amp; Chen, 2025; Li &amp; Bahari, 2026)","plainCitation":"(Chen &amp; Chen, 2025; Li &amp; Bahari, 2026)","noteIndex":0},"citationItems":[{"id":18655,"uris":["http://zotero.org/users/14842315/items/PNVKSG2G"],"itemData":{"id":18655,"type":"article-journal","abstract":"With the rapid advancement of generative artificial intelligence, large language models (LLMs) have become increasingly integrated into education, particularly for automated formative feedback and writing assessment. This study introduces and evaluates an AI-driven intelligent feedback system aimed at promoting sustainable and inclusive practices in higher education. It does so by delivering cost-effective feedback in under-resourced contexts and adaptive guidance for diverse learners. The system is built on transformer-based models (BERT and RoBERTa) to support personalised writing evaluation and feedback generation. The system aims to improve students’ self-assessment accuracy (SAA), a critical factor for self-regulated learning, while addressing the challenge of delivering high-quality feedback efficiently in under-resourced contexts. A quasi-experimental design was employed to examine the effects of LLM-generated feedback (LLMF) on students’ SAA and to investigate how these effects vary by initial ability. Results indicated no significant group-level difference in posttest SAA between the experimental and control groups. More importantly, interaction analysis revealed a significant moderating effect of Initial Self-Assessment Accuracy (ISAA). Students with lower baseline accuracy benefited substantially from LLMF, while those with higher baseline SAA showed limited change. This compensatory effect highlights the potential of LLMF to reduce inequities in self-regulated learning. These findings demonstrate the potential of AI-driven feedback systems to cost-effectively reduce calibration gaps and foster metacognitive development. By embedding adaptive and personalised mechanisms, such systems advance educational equity and promote scalable personalised learning. They also contribute to the broader agenda of intelligent and sustainable education.","container-title":"Expert Systems","DOI":"10.1111/exsy.70184","ISSN":"0266-4720, 1468-0394","issue":"1","journalAbbreviation":"Expert Systems","language":"en","source":"DOI.org (Crossref)","title":"AI Driven Intelligent Feedback System for Enhancing Self‐Assessment Accuracy in Higher Education Writing","title-short":"&lt;span style=\"font-variant","URL":"https://onlinelibrary.wiley.com/doi/10.1111/exsy.70184","volume":"43","author":[{"family":"Chen","given":"Shih‐Yhe"},{"family":"Chen","given":"Wei‐Cheng"}],"accessed":{"date-parts":[["2026",4,2]]},"issued":{"date-parts":[["2025",10,12]]}}},{"id":18652,"uris":["http://zotero.org/users/14842315/items/KSHDRI25"],"itemData":{"id":18652,"type":"article-journal","abstract":"Academic writing remains a high-stakes challenge for postgraduate EFL learners, and traditional instructor/peer feedback often cannot deliver timely, individualized support at scale. This study tested whether artificial-intelligence (AI) – mediated scaffolding can improve foundational writing skills and dialogic engagement during revision. We conducted a five-arm, parallel-group randomized controlled trial over 16 weeks with a delayed posttest at four research-intensive Chinese universities. Postgraduate TEFL students (N = 445) were randomly assigned to grammatical scaffolding, lexical enhancement, rhetorical structuring, iterative AI-supported revision, or traditional human feedback. The primary outcome variables were grammatical accuracy, lexical sophistication, genre move adherence, and revision engagement, complemented by interviews and reflective journals. Iterative AI-supported revision produced the largest and most durable gains across all outcome variables, with substantial improvements in grammatical accuracy and revision engagement maintained at delayed posttest; the other AI scaffolds yielded more targeted improvements aligned with their focus. Learners reported increased writing confidence, more strategic planning, and stronger vocabulary consolidation. Limitations in higher-order conceptual restructuring and voice preservation underscored the continued value of human mentorship. AImediated iterative revision appears to be a scalable, effective scaffold for postgraduate academic writing when combined with expert guidance.","container-title":"Interactive Learning Environments","DOI":"10.1080/10494820.2026.2635539","ISSN":"1049-4820, 1744-5191","journalAbbreviation":"Interactive Learning Environments","language":"en","page":"1-29","source":"DOI.org (Crossref)","title":"AI-mediated scaffolding in academic writing: a longitudinal mixed-methods study on foundational skill development and dialogic engagement among EFL postgraduate students","title-short":"AI-mediated scaffolding in academic writing","author":[{"family":"Li","given":"Qiang"},{"family":"Bahari","given":"Akbar"}],"issued":{"date-parts":[["2026",3,16]]}}}],"schema":"https://github.com/citation-style-language/schema/raw/master/csl-citation.json"} </w:instrText>
      </w:r>
      <w:r w:rsidR="005F01C3">
        <w:rPr>
          <w:rFonts w:ascii="Times New Roman" w:hAnsi="Times New Roman" w:cs="Times New Roman"/>
        </w:rPr>
        <w:fldChar w:fldCharType="separate"/>
      </w:r>
      <w:r w:rsidR="005F01C3" w:rsidRPr="005F01C3">
        <w:rPr>
          <w:rFonts w:ascii="Times New Roman" w:hAnsi="Times New Roman" w:cs="Times New Roman"/>
        </w:rPr>
        <w:t>(Chen &amp; Chen, 2025; Li &amp; Bahari, 2026)</w:t>
      </w:r>
      <w:r w:rsidR="005F01C3">
        <w:rPr>
          <w:rFonts w:ascii="Times New Roman" w:hAnsi="Times New Roman" w:cs="Times New Roman"/>
        </w:rPr>
        <w:fldChar w:fldCharType="end"/>
      </w:r>
      <w:r w:rsidRPr="00BA6D4E">
        <w:rPr>
          <w:rFonts w:ascii="Times New Roman" w:hAnsi="Times New Roman" w:cs="Times New Roman"/>
        </w:rPr>
        <w:t xml:space="preserve">, it operates outside shared disciplinary understanding and pedagogical intent, producing outputs that are immediately useful yet often opaque in their underlying logic </w:t>
      </w:r>
      <w:r w:rsidR="005F01C3">
        <w:rPr>
          <w:rFonts w:ascii="Times New Roman" w:hAnsi="Times New Roman" w:cs="Times New Roman"/>
        </w:rPr>
        <w:fldChar w:fldCharType="begin"/>
      </w:r>
      <w:r w:rsidR="005F01C3">
        <w:rPr>
          <w:rFonts w:ascii="Times New Roman" w:hAnsi="Times New Roman" w:cs="Times New Roman"/>
        </w:rPr>
        <w:instrText xml:space="preserve"> ADDIN ZOTERO_ITEM CSL_CITATION {"citationID":"jXB9OJ0I","properties":{"formattedCitation":"(Atchley et al., 2024; Bearman &amp; Ajjawi, 2023)","plainCitation":"(Atchley et al., 2024; Bearman &amp; Ajjawi, 2023)","noteIndex":0},"citationItems":[{"id":16759,"uris":["http://zotero.org/users/14842315/items/LIFLXGJA"],"itemData":{"id":16759,"type":"article-journal","abstract":"In service of the goal of examining how cognitive science can facilitate human–computer interactions in complex systems, we explore how cognitive psychology research might help educators better utilize artificial intelligence and AI supported tools as facilitatory to learning, rather than see these emerging technologies as a threat. We also aim to provide historical perspective, both on how automation and technology has generated unnecessary apprehension over time, and how generative AI technologies such as ChatGPT are a product of the discipline of cognitive science. We introduce a model for how higher education instruction can adapt to the age of AI by fully capitalizing on the role that metacognition knowledge and skills play in determining learning effectiveness. Finally, we urge educators to consider how AI can be seen as a critical collaborator to be utilized in our efforts to educate around the critical workforce skills of effective communication and collaboration.","container-title":"Cognitive Research: Principles and Implications","DOI":"10.1186/s41235-024-00547-9","ISSN":"2365-7464","issue":"1","journalAbbreviation":"Cogn. Research","language":"en","page":"20","source":"DOI.org (Crossref)","title":"Human and AI collaboration in the higher education environment: opportunities and concerns","title-short":"Human and AI collaboration in the higher education environment","volume":"9","author":[{"family":"Atchley","given":"Paul"},{"family":"Pannell","given":"Hannah"},{"family":"Wofford","given":"Kaelyn"},{"family":"Hopkins","given":"Michael"},{"family":"Atchley","given":"Ruth Ann"}],"issued":{"date-parts":[["2024",4,8]]}}},{"id":16778,"uris":["http://zotero.org/users/14842315/items/WUT62Y6Y"],"itemData":{"id":16778,"type":"article-journal","abstract":"Artificial intelligence (AI) is increasingly integrating into our society. University education needs to maintain its relevance in an AI-mediated world, but the higher education sector is only beginning to engage deeply with the implications of AI within society. We define AI according to a relational epistemology, where, in the context of a particular interaction, a computational artefact provides a judgement about an optimal course of action and that this judgement cannot be traced. Therefore, by definition, AI must always act as a ‘black box’. Rather than seeking to explain ‘black boxes’, we argue that a pedagogy for an AI-mediated world involves learning to work with opaque, partial and ambiguous situations, which reflect the entangled relationships between people and technologies. Such a pedagogy asks learners locate AI as socially bounded, where AI is always understood within the contexts of its use. We outline two particular approaches to achieve this: (a) orienting students to quality standards that surround AIs, what might be called the tacit and explicit ‘rules of the game’; and (b) providing meaningful interactions with AI systems.","container-title":"British Journal of Educational Technology","DOI":"10.1111/bjet.13337","ISSN":"0007-1013, 1467-8535","issue":"5","journalAbbreviation":"Brit J Educational Tech","language":"en","page":"1160-1173","source":"DOI.org (Crossref)","title":"Learning to work with the black box: Pedagogy for a world with artificial intelligence","title-short":"Learning to work with the black box","volume":"54","author":[{"family":"Bearman","given":"Margaret"},{"family":"Ajjawi","given":"Rola"}],"issued":{"date-parts":[["2023",9]]}}}],"schema":"https://github.com/citation-style-language/schema/raw/master/csl-citation.json"} </w:instrText>
      </w:r>
      <w:r w:rsidR="005F01C3">
        <w:rPr>
          <w:rFonts w:ascii="Times New Roman" w:hAnsi="Times New Roman" w:cs="Times New Roman"/>
        </w:rPr>
        <w:fldChar w:fldCharType="separate"/>
      </w:r>
      <w:r w:rsidR="005F01C3" w:rsidRPr="005F01C3">
        <w:rPr>
          <w:rFonts w:ascii="Times New Roman" w:hAnsi="Times New Roman" w:cs="Times New Roman"/>
        </w:rPr>
        <w:t>(Atchley et al., 2024; Bearman &amp; Ajjawi, 2023)</w:t>
      </w:r>
      <w:r w:rsidR="005F01C3">
        <w:rPr>
          <w:rFonts w:ascii="Times New Roman" w:hAnsi="Times New Roman" w:cs="Times New Roman"/>
        </w:rPr>
        <w:fldChar w:fldCharType="end"/>
      </w:r>
      <w:r w:rsidR="005F01C3">
        <w:rPr>
          <w:rFonts w:ascii="Times New Roman" w:hAnsi="Times New Roman" w:cs="Times New Roman"/>
        </w:rPr>
        <w:t xml:space="preserve">. </w:t>
      </w:r>
      <w:r w:rsidRPr="00BA6D4E">
        <w:rPr>
          <w:rFonts w:ascii="Times New Roman" w:hAnsi="Times New Roman" w:cs="Times New Roman"/>
        </w:rPr>
        <w:t>As a result, learners must evaluate credibility, relevance, and appropriateness without access to the reasoning processes that produced those outputs. In this sense, AI reconfigures rather than extends traditional scaffolding by shifting learning toward evaluative judgment under conditions of partial interpretability.</w:t>
      </w:r>
    </w:p>
    <w:p w14:paraId="4F4FE7F2" w14:textId="41F0DC9B" w:rsidR="00BA6D4E" w:rsidRPr="00BA6D4E" w:rsidRDefault="00BA6D4E" w:rsidP="00DE754A">
      <w:pPr>
        <w:spacing w:line="240" w:lineRule="auto"/>
        <w:ind w:firstLine="720"/>
        <w:rPr>
          <w:rFonts w:ascii="Times New Roman" w:hAnsi="Times New Roman" w:cs="Times New Roman"/>
        </w:rPr>
      </w:pPr>
      <w:r w:rsidRPr="00BA6D4E">
        <w:rPr>
          <w:rFonts w:ascii="Times New Roman" w:hAnsi="Times New Roman" w:cs="Times New Roman"/>
        </w:rPr>
        <w:t xml:space="preserve">At the same time, AI redistributes cognitive work. Rather than functioning solely as an external support, it can act as a collaborator in idea generation, drafting, and revision, introducing forms of human-AI co-regulation in which cognitive tasks are distributed across learner and system </w:t>
      </w:r>
      <w:r w:rsidR="005F01C3">
        <w:rPr>
          <w:rFonts w:ascii="Times New Roman" w:hAnsi="Times New Roman" w:cs="Times New Roman"/>
        </w:rPr>
        <w:fldChar w:fldCharType="begin"/>
      </w:r>
      <w:r w:rsidR="005F01C3">
        <w:rPr>
          <w:rFonts w:ascii="Times New Roman" w:hAnsi="Times New Roman" w:cs="Times New Roman"/>
        </w:rPr>
        <w:instrText xml:space="preserve"> ADDIN ZOTERO_ITEM CSL_CITATION {"citationID":"tSktPRWX","properties":{"formattedCitation":"(Atchley et al., 2024; Xu &amp; Shen, 2026)","plainCitation":"(Atchley et al., 2024; Xu &amp; Shen, 2026)","noteIndex":0},"citationItems":[{"id":16759,"uris":["http://zotero.org/users/14842315/items/LIFLXGJA"],"itemData":{"id":16759,"type":"article-journal","abstract":"In service of the goal of examining how cognitive science can facilitate human–computer interactions in complex systems, we explore how cognitive psychology research might help educators better utilize artificial intelligence and AI supported tools as facilitatory to learning, rather than see these emerging technologies as a threat. We also aim to provide historical perspective, both on how automation and technology has generated unnecessary apprehension over time, and how generative AI technologies such as ChatGPT are a product of the discipline of cognitive science. We introduce a model for how higher education instruction can adapt to the age of AI by fully capitalizing on the role that metacognition knowledge and skills play in determining learning effectiveness. Finally, we urge educators to consider how AI can be seen as a critical collaborator to be utilized in our efforts to educate around the critical workforce skills of effective communication and collaboration.","container-title":"Cognitive Research: Principles and Implications","DOI":"10.1186/s41235-024-00547-9","ISSN":"2365-7464","issue":"1","journalAbbreviation":"Cogn. Research","language":"en","page":"20","source":"DOI.org (Crossref)","title":"Human and AI collaboration in the higher education environment: opportunities and concerns","title-short":"Human and AI collaboration in the higher education environment","volume":"9","author":[{"family":"Atchley","given":"Paul"},{"family":"Pannell","given":"Hannah"},{"family":"Wofford","given":"Kaelyn"},{"family":"Hopkins","given":"Michael"},{"family":"Atchley","given":"Ruth Ann"}],"issued":{"date-parts":[["2024",4,8]]}}},{"id":18657,"uris":["http://zotero.org/users/14842315/items/VBUPC7PH"],"itemData":{"id":18657,"type":"article-journal","abstract":"The rapid spread of generative artificial intelligence (GenAI) is reshaping doctoral education and raising new questions about its implications for research practice and performance. Using large-scale data from the 2025 Chinese National Doctoral Graduates Survey, this study examines how doctoral students adopt GenAI and how different modes of engagement are associated with research performance. Latent class analysis identifies three usage modes: Textual Tool (51.4%), Task Assistant (43.8%), and Thought Partner (4.8%). Ordered logit results show that deeper modes of engagement are more likely among students with STEM backgrounds, interdisciplinary experience, intrinsic motivation, and lower satisfaction with supervisory guidance. Associations between GenAI use and research performance vary systematically by mode and discipline. Textual Tool use is mainly linked to gains in publication productivity, whereas the more comprehensive integration represented by Thought Partner is associated with improvements in dissertation quality. Disciplinary contexts further condition these patterns. In abstract and conceptually oriented fields such as the humanities and mathematics, GenAI use is largely concentrated on text-related functions and is associated with modest, primarily quantitybased outcomes. By contrast, in computational and experimental domains including economics, physics, computer science, and engineering, deeper engagement through Task Assistant and Thought Partner use is more consistently associated with higher research productivity and quality indicators. Overall, the findings highlight that the implications of GenAI for doctoral research depend on how it is integrated into disciplinary research practices, underscoring the need for discipline-sensitive approaches to GenAI governance in doctoral education.","container-title":"Studies in Higher Education","DOI":"10.1080/03075079.2026.2625386","ISSN":"0307-5079, 1470-174X","journalAbbreviation":"Studies in Higher Education","language":"en","page":"1-16","source":"DOI.org (Crossref)","title":"From tool to partner: generative AI usage patterns and research performance among doctoral students","title-short":"From tool to partner","author":[{"family":"Xu","given":"Haotian"},{"family":"Shen","given":"Wenqin"}],"issued":{"date-parts":[["2026",2,3]]}}}],"schema":"https://github.com/citation-style-language/schema/raw/master/csl-citation.json"} </w:instrText>
      </w:r>
      <w:r w:rsidR="005F01C3">
        <w:rPr>
          <w:rFonts w:ascii="Times New Roman" w:hAnsi="Times New Roman" w:cs="Times New Roman"/>
        </w:rPr>
        <w:fldChar w:fldCharType="separate"/>
      </w:r>
      <w:r w:rsidR="005F01C3" w:rsidRPr="005F01C3">
        <w:rPr>
          <w:rFonts w:ascii="Times New Roman" w:hAnsi="Times New Roman" w:cs="Times New Roman"/>
        </w:rPr>
        <w:t>(Atchley et al., 2024; Xu &amp; Shen, 2026)</w:t>
      </w:r>
      <w:r w:rsidR="005F01C3">
        <w:rPr>
          <w:rFonts w:ascii="Times New Roman" w:hAnsi="Times New Roman" w:cs="Times New Roman"/>
        </w:rPr>
        <w:fldChar w:fldCharType="end"/>
      </w:r>
      <w:r w:rsidR="005F01C3">
        <w:rPr>
          <w:rFonts w:ascii="Times New Roman" w:hAnsi="Times New Roman" w:cs="Times New Roman"/>
        </w:rPr>
        <w:t xml:space="preserve">. </w:t>
      </w:r>
      <w:r w:rsidRPr="00BA6D4E">
        <w:rPr>
          <w:rFonts w:ascii="Times New Roman" w:hAnsi="Times New Roman" w:cs="Times New Roman"/>
        </w:rPr>
        <w:t xml:space="preserve">While this redistribution may support efficiency and higher-order thinking, it also increases demands on metacognitive monitoring and raises concerns regarding overreliance and diminished critical engagement, particularly when epistemic authority is unclear </w:t>
      </w:r>
      <w:r w:rsidR="00B634FB">
        <w:rPr>
          <w:rFonts w:ascii="Times New Roman" w:hAnsi="Times New Roman" w:cs="Times New Roman"/>
        </w:rPr>
        <w:fldChar w:fldCharType="begin"/>
      </w:r>
      <w:r w:rsidR="00B634FB">
        <w:rPr>
          <w:rFonts w:ascii="Times New Roman" w:hAnsi="Times New Roman" w:cs="Times New Roman"/>
        </w:rPr>
        <w:instrText xml:space="preserve"> ADDIN ZOTERO_ITEM CSL_CITATION {"citationID":"17WBr1MX","properties":{"formattedCitation":"(Chowdhury &amp; Chowdhury, 2024; Fan et al., 2025)","plainCitation":"(Chowdhury &amp; Chowdhury, 2024; Fan et al., 2025)","noteIndex":0},"citationItems":[{"id":6600,"uris":["http://zotero.org/users/14842315/items/6FESPJNW"],"itemData":{"id":6600,"type":"article-journal","abstract":"The article reports on an exploratory study that assesses the results produced by emerging artificial intelligence (AI)- and large language model-driven search tools in response to a series of queries and prompts based on four scenarios of information-intensive tasks of university students and researchers. Sixteen questions and prompts were created based on four scenarios of information-intensive tasks of university students. Each of these questions and prompts was presented to six AI-driven search tools, and the results were manually checked to assess their suitability for specific user needs and contexts. Based on the findings, it was argued that while the AIdriven tools bring a paradigm shift in information access for education and research, outputs generated by these tools vary quite significantly. Choice of the right tool, framing the question and further prompting play a key role. Also, users need to scrutinise each output to check their quality and reliability in the context of the specific search tasks. It was concluded that further research is needed involving different user groups, scenarios and search tasks and different AI-driven search tools. Implications of the use of AI-driven search tools for libraries and scholarly databases, as well as for research and scholarship in different areas of information science, are discussed.","container-title":"Journal of Information Science","DOI":"10.1177/01655515241284046","ISSN":"0165-5515, 1741-6485","journalAbbreviation":"Journal of Information Science","language":"en","page":"01655515241284046","source":"DOI.org (Crossref)","title":"AI- and LLM-driven search tools: A paradigm shift in information access for education and research","title-short":"AI- and LLM-driven search tools","author":[{"family":"Chowdhury","given":"Gobinda"},{"family":"Chowdhury","given":"Sudatta"}],"issued":{"date-parts":[["2024",10,30]]}}},{"id":16745,"uris":["http://zotero.org/users/14842315/items/W9352GUC"],"itemData":{"id":16745,"type":"article-journal","abstract":"Abstract\n              With the continuous development of technological and educational innovation, learners nowadays can obtain a variety of supports from agents such as teachers, peers, education technologies, and recently, generative artificial intelligence such as ChatGPT. In particular, there has been a surge of academic interest in human‐AI collaboration and hybrid intelligence in learning. The concept of hybrid intelligence is still at a nascent stage, and how learners can benefit from a symbiotic relationship with various agents such as AI, human experts and intelligent learning systems is still unknown. The emerging concept of hybrid intelligence also lacks deep insights and understanding of the mechanisms and consequences of hybrid human‐AI learning based on strong empirical research. In order to address this gap, we conducted a randomised experimental study and compared learners' motivations, self‐regulated learning processes and learning performances on a writing task among different groups who had support from different agents, that is, ChatGPT (also referred to as the AI group), chat with a human expert, writing analytics tools, and no extra tool. A total of 117 university students were recruited, and their multi‐channel learning, performance and motivation data were collected and analysed. The results revealed that: (1) learners who received different learning support showed no difference in post‐task intrinsic motivation; (2) there were significant differences in the frequency and sequences of the self‐regulated learning processes among groups; (3) ChatGPT group outperformed in the essay score improvement but their knowledge gain and transfer were not significantly different. Our research found that in the absence of differences in motivation, learners with different supports still exhibited different self‐regulated learning processes, ultimately leading to differentiated performance. What is particularly noteworthy is that AI technologies such as ChatGPT may promote learners' dependence on technology and potentially trigger “metacognitive laziness”. In conclusion, understanding and leveraging the respective strengths and weaknesses of different agents in learning is critical in the field of future hybrid intelligence.\n            \n            \n              \n              \n                \n                  \n                    Practitioner notes\n                  \n                  \n                    What is already known about this topic\n                    \n                      \n                        Hybrid intelligence, combining human and machine intelligence, aims to augment human capabilities rather than replace them, creating opportunities for more effective lifelong learning and collaboration.\n                      \n                      \n                        Generative AI, such as ChatGPT, has shown potential in enhancing learning by providing immediate feedback, overcoming language barriers and facilitating personalised educational experiences.\n                      \n                      \n                        The effectiveness of AI in educational contexts varies, with some studies highlighting its benefits in improving academic performance and motivation, while others note limitations in its ability to replace human teachers entirely.\n                      \n                    \n                  \n                  \n                    What this paper adds\n                    \n                      \n                        We conducted a randomised experimental study in the lab setting and compared learners' motivations, self‐regulated learning processes and learning performances among different agent groups (AI, human expert and checklist tools).\n                      \n                      \n                        We found that AI technologies such as ChatGPT may promote learners' dependence on technology and potentially trigger metacognitive \"laziness\", which can potentially hinder their ability to self‐regulate and engage deeply in learning.\n                      \n                      \n                        We also found that ChatGPT can significantly improve short‐term task performance, but it may not boost intrinsic motivation and knowledge gain and transfer.\n                      \n                    \n                  \n                  \n                    Implications for practice and/or policy\n                    \n                      \n                        When using AI in learning, learners should focus on deepening their understanding of knowledge and actively engage in metacognitive processes such as evaluation, monitoring, and orientation, rather than blindly following ChatGPT's feedback solely to complete tasks efficiently.\n                      \n                      \n                        When using AI in teaching, teachers should think about which tasks are suitable for learners to complete with the assistance of AI, pay attention to stimulating learners' intrinsic motivations, and develop scaffolding to assist learners in active learning.\n                      \n                      \n                        Researcher should design multi‐task and cross‐context studies in the future to deepen our understanding of how learners could ethically and effectively learn, regulate, collaborate and evolve with AI.","container-title":"British Journal of Educational Technology","DOI":"10.1111/bjet.13544","ISSN":"0007-1013, 1467-8535","issue":"2","journalAbbreviation":"Brit J Educational Tech","language":"en","page":"489-530","source":"DOI.org (Crossref)","title":"Beware of metacognitive laziness: Effects of generative artificial intelligence on learning motivation, processes, and performance","title-short":"Beware of metacognitive laziness","volume":"56","author":[{"family":"Fan","given":"Yizhou"},{"family":"Tang","given":"Luzhen"},{"family":"Le","given":"Huixiao"},{"family":"Shen","given":"Kejie"},{"family":"Tan","given":"Shufang"},{"family":"Zhao","given":"Yueying"},{"family":"Shen","given":"Yuan"},{"family":"Li","given":"Xinyu"},{"family":"Gašević","given":"Dragan"}],"issued":{"date-parts":[["2025",3]]}}}],"schema":"https://github.com/citation-style-language/schema/raw/master/csl-citation.json"} </w:instrText>
      </w:r>
      <w:r w:rsidR="00B634FB">
        <w:rPr>
          <w:rFonts w:ascii="Times New Roman" w:hAnsi="Times New Roman" w:cs="Times New Roman"/>
        </w:rPr>
        <w:fldChar w:fldCharType="separate"/>
      </w:r>
      <w:r w:rsidR="00B634FB" w:rsidRPr="00B634FB">
        <w:rPr>
          <w:rFonts w:ascii="Times New Roman" w:hAnsi="Times New Roman" w:cs="Times New Roman"/>
        </w:rPr>
        <w:t>(Chowdhury &amp; Chowdhury, 2024; Fan et al., 2025)</w:t>
      </w:r>
      <w:r w:rsidR="00B634FB">
        <w:rPr>
          <w:rFonts w:ascii="Times New Roman" w:hAnsi="Times New Roman" w:cs="Times New Roman"/>
        </w:rPr>
        <w:fldChar w:fldCharType="end"/>
      </w:r>
      <w:r w:rsidRPr="00BA6D4E">
        <w:rPr>
          <w:rFonts w:ascii="Times New Roman" w:hAnsi="Times New Roman" w:cs="Times New Roman"/>
        </w:rPr>
        <w:t>. As such, AI-supported learning involves a dual dynamic in which support and risk are experienced simultaneously, depending on how learners interpret and engage with AI outputs.</w:t>
      </w:r>
    </w:p>
    <w:p w14:paraId="629C6586" w14:textId="3E4A274C" w:rsidR="00BA6D4E" w:rsidRPr="00BA6D4E" w:rsidRDefault="00BA6D4E" w:rsidP="00DE754A">
      <w:pPr>
        <w:spacing w:line="240" w:lineRule="auto"/>
        <w:ind w:firstLine="720"/>
        <w:rPr>
          <w:rFonts w:ascii="Times New Roman" w:hAnsi="Times New Roman" w:cs="Times New Roman"/>
        </w:rPr>
      </w:pPr>
      <w:r w:rsidRPr="00BA6D4E">
        <w:rPr>
          <w:rFonts w:ascii="Times New Roman" w:hAnsi="Times New Roman" w:cs="Times New Roman"/>
        </w:rPr>
        <w:t xml:space="preserve">These dynamics unfold within broader conditions of ethical ambiguity. Students often hold ambivalent views toward AI, recognizing its utility while questioning its legitimacy within academic work </w:t>
      </w:r>
      <w:r w:rsidR="00B634FB">
        <w:rPr>
          <w:rFonts w:ascii="Times New Roman" w:hAnsi="Times New Roman" w:cs="Times New Roman"/>
        </w:rPr>
        <w:fldChar w:fldCharType="begin"/>
      </w:r>
      <w:r w:rsidR="00B634FB">
        <w:rPr>
          <w:rFonts w:ascii="Times New Roman" w:hAnsi="Times New Roman" w:cs="Times New Roman"/>
        </w:rPr>
        <w:instrText xml:space="preserve"> ADDIN ZOTERO_ITEM CSL_CITATION {"citationID":"mCBwRujj","properties":{"formattedCitation":"(Lund et al., 2025; S. Wang et al., 2024)","plainCitation":"(Lund et al., 2025; S. Wang et al., 2024)","noteIndex":0},"citationItems":[{"id":16765,"uris":["http://zotero.org/users/14842315/items/RD9MVV3Q"],"itemData":{"id":16765,"type":"article-journal","abstract":"The rise of generative AI in higher education has disrupted our traditional understandings of academic integrity, moving our focus from clear-cut infractions to evolving ethical judgment. In this study, a survey of 401 students from major U.S. universities provides insight into how beliefs, behaviors, and policy awareness intersect in shaping how students interact with AI-assisted writing. The findings indicate that students’ ethical beliefs—not institutional policies—are the strongest predictors of perceived misconduct and actual AI use in writing. Policy awareness was found to have no significant effect on ethical judgments or behavior. Instead, students who believe AI writing is cheating were found to be substantially less likely to view it as ethical or engage with it. These findings suggest that many students do not treat AI use in learning activities as an extension of conventional cheating (e.g., plagiarism), but rather as a distinct category of academic conduct/misconduct. Rather than using punitive models to attempt to punish students for using AI, this study suggests that education about AI ethics and the risk of AI overreliance may prove more successful for curbing unethical AI use in higher education.","container-title":"AI in Education","DOI":"10.3390/aieduc1010002","ISSN":"3042-8130","issue":"1","journalAbbreviation":"AI in Education","language":"en","page":"2","source":"DOI.org (Crossref)","title":"Student Perceptions of AI-Assisted Writing and Academic Integrity: Ethical Concerns, Academic Misconduct, and Use of Generative AI in Higher Education","title-short":"Student Perceptions of AI-Assisted Writing and Academic Integrity","volume":"1","author":[{"family":"Lund","given":"Brady"},{"family":"Mannuru","given":"Nishith Reddy"},{"family":"Teel","given":"Zoë Abbie"},{"family":"Lee","given":"Tae Hee"},{"family":"Ortega","given":"Nathanlie Jugan"},{"family":"Simmons","given":"Sara"},{"family":"Ward","given":"Evelyn"}],"issued":{"date-parts":[["2025",9,2]]}}},{"id":16791,"uris":["http://zotero.org/users/14842315/items/9ID28Y9Y"],"itemData":{"id":16791,"type":"article-journal","abstract":"Artificial intelligence (AI) in education (AIED) has evolved into a substantial body of literature with diverse perspectives. In this review paper, we seek insights into three critical questions: (1) What are the primary categories of AI applications explored in the education field? (2) What are the predominant research topics and their key findings? (3) What is the status of major research design elements, including guiding theories, methodologies, and research contexts? A bibliometric analysis of 2,223 research articles followed by a content analysis of selected 125 papers reveals a comprehensive conceptual structure of the existing literature. The extant AIED research spans a wide spectrum of applications, encompassing those for adaptive learning and personalized tutoring, intelligent assessment and management, profiling and prediction, and emerging products. Research topics delve into both the technical design of education systems and the examination of the adoption, impacts, and challenges associated with AIED. Furthermore, this review highlights the diverse range of theories applied in the AIED literature, the multidisciplinary nature of publication venues, and underexplored research areas. In sum, this research offers valuable insights for interested scholars to comprehend the current state of AIED research and identify future research opportunities in this dynamic field.","container-title":"Expert Systems with Applications","DOI":"10.1016/j.eswa.2024.124167","ISSN":"09574174","issue":"A","journalAbbreviation":"Expert Systems with Applications","language":"en","page":"124167","source":"DOI.org (Crossref)","title":"Artificial intelligence in education: A systematic literature review","title-short":"Artificial intelligence in education","volume":"252","author":[{"family":"Wang","given":"Shan"},{"family":"Wang","given":"Fang"},{"family":"Zhu","given":"Zhen"},{"family":"Wang","given":"Jingxuan"},{"family":"Tran","given":"Tam"},{"family":"Du","given":"Zhao"}],"issued":{"date-parts":[["2024",10]]}}}],"schema":"https://github.com/citation-style-language/schema/raw/master/csl-citation.json"} </w:instrText>
      </w:r>
      <w:r w:rsidR="00B634FB">
        <w:rPr>
          <w:rFonts w:ascii="Times New Roman" w:hAnsi="Times New Roman" w:cs="Times New Roman"/>
        </w:rPr>
        <w:fldChar w:fldCharType="separate"/>
      </w:r>
      <w:r w:rsidR="00B634FB" w:rsidRPr="00B634FB">
        <w:rPr>
          <w:rFonts w:ascii="Times New Roman" w:hAnsi="Times New Roman" w:cs="Times New Roman"/>
        </w:rPr>
        <w:t>(Lund et al., 2025; S. Wang et al., 2024)</w:t>
      </w:r>
      <w:r w:rsidR="00B634FB">
        <w:rPr>
          <w:rFonts w:ascii="Times New Roman" w:hAnsi="Times New Roman" w:cs="Times New Roman"/>
        </w:rPr>
        <w:fldChar w:fldCharType="end"/>
      </w:r>
      <w:r w:rsidRPr="00BA6D4E">
        <w:rPr>
          <w:rFonts w:ascii="Times New Roman" w:hAnsi="Times New Roman" w:cs="Times New Roman"/>
        </w:rPr>
        <w:t xml:space="preserve">. Institutional expectations and faculty practices remain inconsistent, leaving students to interpret acceptable use across contexts </w:t>
      </w:r>
      <w:r w:rsidR="00B634FB">
        <w:rPr>
          <w:rFonts w:ascii="Times New Roman" w:hAnsi="Times New Roman" w:cs="Times New Roman"/>
        </w:rPr>
        <w:fldChar w:fldCharType="begin"/>
      </w:r>
      <w:r w:rsidR="00B634FB">
        <w:rPr>
          <w:rFonts w:ascii="Times New Roman" w:hAnsi="Times New Roman" w:cs="Times New Roman"/>
        </w:rPr>
        <w:instrText xml:space="preserve"> ADDIN ZOTERO_ITEM CSL_CITATION {"citationID":"iSSrKi38","properties":{"formattedCitation":"(Lin, 2023; Mishra &amp; Varshney, 2024)","plainCitation":"(Lin, 2023; Mishra &amp; Varshney, 2024)","noteIndex":0},"citationItems":[{"id":6825,"uris":["http://zotero.org/users/14842315/items/B5Z8PVVZ"],"itemData":{"id":6825,"type":"article-journal","abstract":"Generative artificial intelligence (AI), including large language models (LLMs), is poised to transform scientific research, enabling researchers to elevate their research productivity. This article presents a how-to guide for employing LLMs in academic settings, focusing on their unique strengths, constraints and implications through the lens of philosophy of science and epistemology. Using ChatGPT as a case study, I identify and elaborate on three attributes contributing to its effectiveness—intelligence, versatility and collaboration—accompanied by tips on crafting effective prompts, practical use cases and a living resource online (https://osf.io/8vpwu/). Next, I evaluate the limitations of generative AI and its implications for ethical use, equality and education. Regarding ethical and responsible use, I argue from technical and epistemic standpoints that there is no need to restrict the scope or nature of AI assistance, provided that its use is transparently disclosed. A pressing challenge, however, lies in detecting fake research, which can be mitigated by embracing open science practices, such as transparent peer review and sharing data, code and materials. Addressing equality, I contend that while generative AI may promote equality for some, it may simultaneously exacerbate disparities for others—an issue with potentially significant yet unclear ramifications as it unfolds. Lastly, I consider the implications for education, advocating for active engagement with LLMs and cultivating students' critical thinking and analytical skills. The how-to guide seeks to empower researchers with the knowledge and resources necessary to effectively harness generative AI while navigating the complex ethical dilemmas intrinsic to its application.","container-title":"Royal Society Open Science","DOI":"10.1098/rsos.230658","ISSN":"2054-5703","issue":"8","journalAbbreviation":"R. Soc. open sci.","language":"en","page":"230658","source":"DOI.org (Crossref)","title":"Why and how to embrace AI such as ChatGPT in your academic life","volume":"10","author":[{"family":"Lin","given":"Zhicheng"}],"issued":{"date-parts":[["2023",8]]}}},{"id":16766,"uris":["http://zotero.org/users/14842315/items/AYCBUAEU"],"itemData":{"id":16766,"type":"article-journal","abstract":"The study surveyed faculty across various disciplines and experience levels using a mixed-method approach, showing significant insights into their perceptions, methods, and challenges towards Academic Integrity. The findings indicate a high awareness of academic dishonesty, with most university students reportedly engaging in such acts. Faculty employ diverse strategies to combat academic dishonesty, including syllabus integrity expectations, ethical dialogues, and varied assessment formats. However, challenges like the influence of the digital environment, online learning issues, and student pressure persist. The study highlights the need for institutional policies and faculty development programs emphasizing ethical conduct and practical engagement in academic integrity. Recommendations include enhancing syllabus communication, engaging in ethical dialogues, and using varied assessment formats and teaching learning method along with the modification in pedagogies. The study aligns with Aristotle's virtue ethics, advocating for the development of moral virtues through practical engagements. Key findings highlight the role of Ethical Artificial Intelligence (AI) literacy in addressing Artificial Intelligence (AI)driven academic dishonesty, suggesting the importance of Artificial Intelligence (AI) monitoring tools and Ethical Education.","container-title":"International Journal of All Research Education and Scientific Methods","issue":"4","language":"en","source":"Zotero","title":"Academic Integrity in Higher Education: Faculty Perceptions, Strategies, and Digital Challenges in the Digital Age","volume":"12","author":[{"family":"Mishra","given":"Dr Rashmi"},{"family":"Varshney","given":"Deepika"}],"issued":{"date-parts":[["2024"]]}}}],"schema":"https://github.com/citation-style-language/schema/raw/master/csl-citation.json"} </w:instrText>
      </w:r>
      <w:r w:rsidR="00B634FB">
        <w:rPr>
          <w:rFonts w:ascii="Times New Roman" w:hAnsi="Times New Roman" w:cs="Times New Roman"/>
        </w:rPr>
        <w:fldChar w:fldCharType="separate"/>
      </w:r>
      <w:r w:rsidR="00B634FB" w:rsidRPr="00B634FB">
        <w:rPr>
          <w:rFonts w:ascii="Times New Roman" w:hAnsi="Times New Roman" w:cs="Times New Roman"/>
        </w:rPr>
        <w:t>(Lin, 2023; Mishra &amp; Varshney, 2024)</w:t>
      </w:r>
      <w:r w:rsidR="00B634FB">
        <w:rPr>
          <w:rFonts w:ascii="Times New Roman" w:hAnsi="Times New Roman" w:cs="Times New Roman"/>
        </w:rPr>
        <w:fldChar w:fldCharType="end"/>
      </w:r>
      <w:r w:rsidR="00B634FB">
        <w:rPr>
          <w:rFonts w:ascii="Times New Roman" w:hAnsi="Times New Roman" w:cs="Times New Roman"/>
        </w:rPr>
        <w:t xml:space="preserve">. </w:t>
      </w:r>
      <w:r w:rsidRPr="00BA6D4E">
        <w:rPr>
          <w:rFonts w:ascii="Times New Roman" w:hAnsi="Times New Roman" w:cs="Times New Roman"/>
        </w:rPr>
        <w:t xml:space="preserve">Empirical research suggests that ethical decision-making is shaped by situational pressures, including time constraints, task difficulty, and unclear guidance, rather than fixed beliefs alone </w:t>
      </w:r>
      <w:r w:rsidR="00B634FB">
        <w:rPr>
          <w:rFonts w:ascii="Times New Roman" w:hAnsi="Times New Roman" w:cs="Times New Roman"/>
        </w:rPr>
        <w:fldChar w:fldCharType="begin"/>
      </w:r>
      <w:r w:rsidR="00B634FB">
        <w:rPr>
          <w:rFonts w:ascii="Times New Roman" w:hAnsi="Times New Roman" w:cs="Times New Roman"/>
        </w:rPr>
        <w:instrText xml:space="preserve"> ADDIN ZOTERO_ITEM CSL_CITATION {"citationID":"WbDMttjE","properties":{"formattedCitation":"(Z. Wang et al., 2025; Zgambo et al., 2025)","plainCitation":"(Z. Wang et al., 2025; Zgambo et al., 2025)","noteIndex":0},"citationItems":[{"id":6615,"uris":["http://zotero.org/users/14842315/items/EMKEHV9F"],"itemData":{"id":6615,"type":"article-journal","abstract":"As AI technologies like GPT models continue to reshape various aspects of society, it is imperative to investigate the perceptions and ethical considerations of graduate students regarding GPT’s use in academic settings. This mixed-method exploratory study engaged 21 graduate students through surveys and focus group interviews. The findings revealed: (1) while engagement with GPT was limited and focused, incidents of unethical use were already present; (2) after experimenting with a designated GPT website, participants showed a statistically significant improvement in their Intention to use AI in research, whereas their research self-efficacy, course satisfaction, perception of AI, necessity of AI for career development, and perceived AI future remained unchanged; (3) graduate students are more likely to use GPT for academic misconduct under time pressure and challenging coursework, exacerbated by instructors’ limited AI awareness. The study advocates for clearer definitions of academic misconduct and a concerted effort toward responsible AI use.","issue":"1","language":"en","publisher":"Educational Technology &amp; Society","source":"Zotero","title":"Will graduate students engage in unethical uses of GPT? An exploratory study to understand their perceptions","volume":"28","author":[{"family":"Wang","given":"Zhuo"},{"family":"Yin","given":"Zhaoyi"},{"family":"Zheng","given":"Ying"},{"family":"Li","given":"Xuehui"},{"family":"Zhang","given":"Li"}],"issued":{"date-parts":[["2025"]]}}},{"id":16764,"uris":["http://zotero.org/users/14842315/items/LEQ4SD3A"],"itemData":{"id":16764,"type":"article-journal","abstract":"Background: The rise of artificial intelligence (AI) use in higher education has generated substantial debate among academics and students, given the potential for students to engage in academic misconduct through the misuse of AI. Academics argue that AI poses a serious threat to the foundational development of nurses through the questionable integrity of AI-generated academic work and by undermining the development of critical thinking skills essential for professional practice. However, there is limited research on nursing students’ integration of AI technologies in their studies.\nMethod: This study utilised a convergent parallel mixed methods approach to develop a multiphase approach with convergent parallel techniques for the qualitative and quantitative phases. The quantitative method utilised a Qualtrics-powered online survey to engage 188 nursing students, exploring various domains related to AI use. In the qualitative phase, in-depth interviews with 13 purposively sampled students provided deeper insights. The qualitative data were analysed using an inductive thematic analysis approach, while the quantitative data were analysed using SPSS.\nResult: In the survey, 24 % of respondents reported using AI, ranging from moderate to extensive usage. In logistics regression analysis, hearing about AI (OR = 3.9; CI 1.07–10.2; p &lt; 0.05), the belief that AI was useful in the studies (OR = 5.5; CI 1.7–17.3; p &lt; 0.01), and the perception that learning to use AI is easy (OR = 3.4; CI 1.1–11.1; p &lt; 0.05) predicted AI use. Qualitative findings revealed that all students used AI for various academic purposes. The ‘fascinating’, ‘intelligent’ and ‘efficient’ nature of AI in handling ‘time-consuming’ academic tasks motivated its use. However, concerns about breaching academic integrity and the value of achieving success through personal effort served as deterrents.\nConclusion: The findings suggest that while AI’s efficiency drives students to adopt it, they remain cautious about its ethical implications, leading to uncertainty in its application within academic practices. This highlights the critical need for institutional support and explicit guidelines on responsible AI integration in educational settings.","container-title":"Nurse Education Today","DOI":"10.1016/j.nedt.2025.106796","ISSN":"02606917","journalAbbreviation":"Nurse Education Today","language":"en","page":"106796","source":"DOI.org (Crossref)","title":"Artificial intelligence and academic integrity in nursing education: A mixed methods study on usage, perceptions, and institutional implications","title-short":"Artificial intelligence and academic integrity in nursing education","volume":"153","author":[{"family":"Zgambo","given":"Maggie"},{"family":"Costello","given":"Martina"},{"family":"Buhlmann","given":"Melanie"},{"family":"Maldon","given":"Justine"},{"family":"Anyango","given":"Edah"},{"family":"Adama","given":"Esther"}],"issued":{"date-parts":[["2025",10]]}}}],"schema":"https://github.com/citation-style-language/schema/raw/master/csl-citation.json"} </w:instrText>
      </w:r>
      <w:r w:rsidR="00B634FB">
        <w:rPr>
          <w:rFonts w:ascii="Times New Roman" w:hAnsi="Times New Roman" w:cs="Times New Roman"/>
        </w:rPr>
        <w:fldChar w:fldCharType="separate"/>
      </w:r>
      <w:r w:rsidR="00B634FB" w:rsidRPr="00B634FB">
        <w:rPr>
          <w:rFonts w:ascii="Times New Roman" w:hAnsi="Times New Roman" w:cs="Times New Roman"/>
        </w:rPr>
        <w:t>(Z. Wang et al., 2025; Zgambo et al., 2025)</w:t>
      </w:r>
      <w:r w:rsidR="00B634FB">
        <w:rPr>
          <w:rFonts w:ascii="Times New Roman" w:hAnsi="Times New Roman" w:cs="Times New Roman"/>
        </w:rPr>
        <w:fldChar w:fldCharType="end"/>
      </w:r>
      <w:r w:rsidR="00B634FB">
        <w:rPr>
          <w:rFonts w:ascii="Times New Roman" w:hAnsi="Times New Roman" w:cs="Times New Roman"/>
        </w:rPr>
        <w:t xml:space="preserve">. </w:t>
      </w:r>
      <w:r w:rsidRPr="00BA6D4E">
        <w:rPr>
          <w:rFonts w:ascii="Times New Roman" w:hAnsi="Times New Roman" w:cs="Times New Roman"/>
        </w:rPr>
        <w:t xml:space="preserve">In doctoral contexts, the partial invisibility of AI use further complicates these dynamics, reshaping relationships with supervisors and norms of authorship and responsibility </w:t>
      </w:r>
      <w:r w:rsidR="00B634FB">
        <w:rPr>
          <w:rFonts w:ascii="Times New Roman" w:hAnsi="Times New Roman" w:cs="Times New Roman"/>
        </w:rPr>
        <w:fldChar w:fldCharType="begin"/>
      </w:r>
      <w:r w:rsidR="00B634FB">
        <w:rPr>
          <w:rFonts w:ascii="Times New Roman" w:hAnsi="Times New Roman" w:cs="Times New Roman"/>
        </w:rPr>
        <w:instrText xml:space="preserve"> ADDIN ZOTERO_ITEM CSL_CITATION {"citationID":"jIaMuGB2","properties":{"formattedCitation":"(Boyd &amp; Harding, 2025)","plainCitation":"(Boyd &amp; Harding, 2025)","noteIndex":0},"citationItems":[{"id":18645,"uris":["http://zotero.org/users/14842315/items/IBXKGLJI"],"itemData":{"id":18645,"type":"article-journal","abstract":"The uptake of generative artificial intelligence (GenAI) tools has implications for doctoral research and academic publication practices within both construction management and the wider academic context. Unless these implications are understood, GenAI tools have the potential to disrupt traditional relationships between doctoral researchers and their academic supervisors. Rather than exploring the technical competence and reach of GenAI tools, this study explores the nature of these challenges. GenAI is explored from both supervisor and doctoral perspectives for how its integration into doctoral research processes might shift relationships and affect practice. Informed by structuration theory, the research uses mixed methods to map shifts in agency and structure resulting from the adoption of GenAI tools. Findings highlight that the often-unacknowledged use of GenAI in doctoral research can confer undue agency on the technology that disrupts traditional relationships in an unacknowledged way. The rapid but often unacknowledged uptake of GenAI within doctoral research comes with a lack of consideration of the emotional support ascribed by students to the technology. It is concluded that GenAI tools should be openly incorporated into research and practice in a transparent, integrated approach.","container-title":"Buildings &amp; Cities","DOI":"10.5334/bc.560","ISSN":"2632-6655","issue":"1","journalAbbreviation":"B&amp;C","language":"en","license":"https://creativecommons.org/licenses/by/4.0","source":"DOI.org (Crossref)","title":"Generative AI: reconfiguring supervision and doctoral research","title-short":"Generative AI","URL":"https://account.journal-buildingscities.org/index.php/up-j-bc/article/view/560","volume":"6","author":[{"family":"Boyd","given":"Philippa"},{"family":"Harding","given":"Debs"}],"accessed":{"date-parts":[["2026",4,2]]},"issued":{"date-parts":[["2025",6,19]]}}}],"schema":"https://github.com/citation-style-language/schema/raw/master/csl-citation.json"} </w:instrText>
      </w:r>
      <w:r w:rsidR="00B634FB">
        <w:rPr>
          <w:rFonts w:ascii="Times New Roman" w:hAnsi="Times New Roman" w:cs="Times New Roman"/>
        </w:rPr>
        <w:fldChar w:fldCharType="separate"/>
      </w:r>
      <w:r w:rsidR="00B634FB" w:rsidRPr="00B634FB">
        <w:rPr>
          <w:rFonts w:ascii="Times New Roman" w:hAnsi="Times New Roman" w:cs="Times New Roman"/>
        </w:rPr>
        <w:t>(Boyd &amp; Harding, 2025)</w:t>
      </w:r>
      <w:r w:rsidR="00B634FB">
        <w:rPr>
          <w:rFonts w:ascii="Times New Roman" w:hAnsi="Times New Roman" w:cs="Times New Roman"/>
        </w:rPr>
        <w:fldChar w:fldCharType="end"/>
      </w:r>
      <w:r w:rsidR="00B634FB">
        <w:rPr>
          <w:rFonts w:ascii="Times New Roman" w:hAnsi="Times New Roman" w:cs="Times New Roman"/>
        </w:rPr>
        <w:t xml:space="preserve">. </w:t>
      </w:r>
    </w:p>
    <w:p w14:paraId="0C56F44C" w14:textId="76264E00" w:rsidR="00442BFC" w:rsidRPr="000704FD" w:rsidRDefault="00BA6D4E" w:rsidP="00BA6D4E">
      <w:pPr>
        <w:spacing w:line="240" w:lineRule="auto"/>
        <w:ind w:firstLine="720"/>
        <w:rPr>
          <w:rFonts w:ascii="Times New Roman" w:hAnsi="Times New Roman" w:cs="Times New Roman"/>
        </w:rPr>
      </w:pPr>
      <w:r w:rsidRPr="00BA6D4E">
        <w:rPr>
          <w:rFonts w:ascii="Times New Roman" w:hAnsi="Times New Roman" w:cs="Times New Roman"/>
        </w:rPr>
        <w:t xml:space="preserve">Together, this body of work suggests that AI-supported learning cannot be understood solely in terms of instructional effectiveness or tool use. Instead, it must be examined as an interpretive and context-dependent process in which metacognition, cognitive delegation, and ethical reasoning </w:t>
      </w:r>
      <w:proofErr w:type="gramStart"/>
      <w:r w:rsidRPr="00BA6D4E">
        <w:rPr>
          <w:rFonts w:ascii="Times New Roman" w:hAnsi="Times New Roman" w:cs="Times New Roman"/>
        </w:rPr>
        <w:t>intersect</w:t>
      </w:r>
      <w:proofErr w:type="gramEnd"/>
      <w:r w:rsidRPr="00BA6D4E">
        <w:rPr>
          <w:rFonts w:ascii="Times New Roman" w:hAnsi="Times New Roman" w:cs="Times New Roman"/>
        </w:rPr>
        <w:t xml:space="preserve">. From this perspective, AI functions simultaneously as a </w:t>
      </w:r>
      <w:proofErr w:type="gramStart"/>
      <w:r w:rsidRPr="00BA6D4E">
        <w:rPr>
          <w:rFonts w:ascii="Times New Roman" w:hAnsi="Times New Roman" w:cs="Times New Roman"/>
        </w:rPr>
        <w:t>scaffold,</w:t>
      </w:r>
      <w:proofErr w:type="gramEnd"/>
      <w:r w:rsidRPr="00BA6D4E">
        <w:rPr>
          <w:rFonts w:ascii="Times New Roman" w:hAnsi="Times New Roman" w:cs="Times New Roman"/>
        </w:rPr>
        <w:t xml:space="preserve"> collaborator, and epistemically complex system, requiring learners to continuously evaluate, position, and make sense of its role within their academic work</w:t>
      </w:r>
      <w:r w:rsidR="003F210C" w:rsidRPr="000704FD">
        <w:rPr>
          <w:rFonts w:ascii="Times New Roman" w:hAnsi="Times New Roman" w:cs="Times New Roman"/>
        </w:rPr>
        <w:t>.</w:t>
      </w:r>
    </w:p>
    <w:p w14:paraId="77FF85FE" w14:textId="4DBC1AE0" w:rsidR="00442BFC" w:rsidRPr="000C7256" w:rsidRDefault="004628B3" w:rsidP="000704FD">
      <w:pPr>
        <w:spacing w:line="240" w:lineRule="auto"/>
        <w:jc w:val="center"/>
        <w:rPr>
          <w:rFonts w:ascii="Times New Roman" w:hAnsi="Times New Roman" w:cs="Times New Roman"/>
          <w:b/>
          <w:bCs/>
        </w:rPr>
      </w:pPr>
      <w:r w:rsidRPr="000C7256">
        <w:rPr>
          <w:rFonts w:ascii="Times New Roman" w:hAnsi="Times New Roman" w:cs="Times New Roman"/>
          <w:b/>
          <w:bCs/>
        </w:rPr>
        <w:t xml:space="preserve">Purpose </w:t>
      </w:r>
      <w:r w:rsidR="00F81579" w:rsidRPr="000C7256">
        <w:rPr>
          <w:rFonts w:ascii="Times New Roman" w:hAnsi="Times New Roman" w:cs="Times New Roman"/>
          <w:b/>
          <w:bCs/>
        </w:rPr>
        <w:t>and Research Questions</w:t>
      </w:r>
    </w:p>
    <w:p w14:paraId="4E164254" w14:textId="076B560C" w:rsidR="00FA0C79" w:rsidRPr="000704FD" w:rsidRDefault="00650903" w:rsidP="000704FD">
      <w:pPr>
        <w:spacing w:line="240" w:lineRule="auto"/>
        <w:ind w:firstLine="720"/>
        <w:rPr>
          <w:rFonts w:ascii="Times New Roman" w:hAnsi="Times New Roman" w:cs="Times New Roman"/>
        </w:rPr>
      </w:pPr>
      <w:r w:rsidRPr="000704FD">
        <w:rPr>
          <w:rFonts w:ascii="Times New Roman" w:hAnsi="Times New Roman" w:cs="Times New Roman"/>
        </w:rPr>
        <w:t xml:space="preserve">The purpose of this study was to interpret how meanings about AI-supported learning were constructed, negotiated, and revised over time within a graduate research methods course, as </w:t>
      </w:r>
      <w:r w:rsidR="00CD2671" w:rsidRPr="000704FD">
        <w:rPr>
          <w:rFonts w:ascii="Times New Roman" w:hAnsi="Times New Roman" w:cs="Times New Roman"/>
        </w:rPr>
        <w:t>displayed</w:t>
      </w:r>
      <w:r w:rsidRPr="000704FD">
        <w:rPr>
          <w:rFonts w:ascii="Times New Roman" w:hAnsi="Times New Roman" w:cs="Times New Roman"/>
        </w:rPr>
        <w:t xml:space="preserve"> in students’ metacognitive reflections and situated within instructional and institutional contexts.</w:t>
      </w:r>
      <w:r w:rsidR="009D1F59" w:rsidRPr="000704FD">
        <w:rPr>
          <w:rFonts w:ascii="Times New Roman" w:hAnsi="Times New Roman" w:cs="Times New Roman"/>
        </w:rPr>
        <w:t xml:space="preserve"> </w:t>
      </w:r>
      <w:r w:rsidR="00CD2671" w:rsidRPr="000704FD">
        <w:rPr>
          <w:rFonts w:ascii="Times New Roman" w:hAnsi="Times New Roman" w:cs="Times New Roman"/>
        </w:rPr>
        <w:t>The central research question was, h</w:t>
      </w:r>
      <w:r w:rsidR="00A53D6F" w:rsidRPr="000704FD">
        <w:rPr>
          <w:rFonts w:ascii="Times New Roman" w:hAnsi="Times New Roman" w:cs="Times New Roman"/>
        </w:rPr>
        <w:t xml:space="preserve">ow are meanings about learning, AI use, and contextual conditions constructed and negotiated over time in graduate students’ </w:t>
      </w:r>
      <w:r w:rsidR="00A53D6F" w:rsidRPr="000704FD">
        <w:rPr>
          <w:rFonts w:ascii="Times New Roman" w:hAnsi="Times New Roman" w:cs="Times New Roman"/>
        </w:rPr>
        <w:lastRenderedPageBreak/>
        <w:t>reflective texts within a graduate research methods course</w:t>
      </w:r>
      <w:r w:rsidR="00C814D8" w:rsidRPr="000704FD">
        <w:rPr>
          <w:rFonts w:ascii="Times New Roman" w:hAnsi="Times New Roman" w:cs="Times New Roman"/>
        </w:rPr>
        <w:t>?</w:t>
      </w:r>
      <w:r w:rsidR="00D64601" w:rsidRPr="000704FD">
        <w:rPr>
          <w:rFonts w:ascii="Times New Roman" w:hAnsi="Times New Roman" w:cs="Times New Roman"/>
        </w:rPr>
        <w:t xml:space="preserve"> In this study, learning is understood as metacognitive engagement, including how students plan, monitor, and evaluate their understanding in relation to AI-supported tasks </w:t>
      </w:r>
      <w:r w:rsidR="006C05B6" w:rsidRPr="000704FD">
        <w:rPr>
          <w:rFonts w:ascii="Times New Roman" w:hAnsi="Times New Roman" w:cs="Times New Roman"/>
        </w:rPr>
        <w:fldChar w:fldCharType="begin"/>
      </w:r>
      <w:r w:rsidR="00D170E5" w:rsidRPr="000704FD">
        <w:rPr>
          <w:rFonts w:ascii="Times New Roman" w:hAnsi="Times New Roman" w:cs="Times New Roman"/>
        </w:rPr>
        <w:instrText xml:space="preserve"> ADDIN ZOTERO_ITEM CSL_CITATION {"citationID":"JN7P3VHD","properties":{"formattedCitation":"(Flavell, 1979; Zimmerman, 2002)","plainCitation":"(Flavell, 1979; Zimmerman, 2002)","noteIndex":0},"citationItems":[{"id":6728,"uris":["http://zotero.org/users/14842315/items/3TPMFBU2"],"itemData":{"id":6728,"type":"article-journal","abstract":"Studies suggest that young children are quite limited in their knowledge about cognitive phenomena—or in their metacognition—and do relatively little monitoring of their own memory, comprehension, and other cognitive enterprises. Metacognitive knowledge is one's stored knowledge or beliefs about oneself and others as cognitive agents, about tasks, about actions or strategies, and about how all these interact to affect the outcomes of any sort of intellectual enterprise. Metacognitive experiences are conscious cognitive or affective experiences that occur during the enterprise and concern any aspect of it—often, how well it is going. Research is needed to describe and explain spontaneous developmental acquisitions in this area and find effective ways of teaching metacognitive knowledge and cognitive monitoring skills. (9 ref) (PsycINFO Database Record (c) 2016 APA, all rights reserved)","container-title":"American Psychologist","DOI":"10.1037/0003-066X.34.10.906","ISSN":"1935-990X(Electronic),0003-066X(Print)","issue":"10","note":"publisher-place: US","page":"906-911","publisher":"American Psychological Association","title":"Metacognition and cognitive monitoring: A new area of cognitive–developmental inquiry.","volume":"34","author":[{"family":"Flavell","given":"John H."}],"issued":{"date-parts":[["1979"]]}}},{"id":6746,"uris":["http://zotero.org/users/14842315/items/IJHK3CGI"],"itemData":{"id":6746,"type":"article-journal","container-title":"Theory into Practice","issue":"2","language":"en","source":"Zotero","title":"Becoming a Self-Regulated Learner: An Overview","volume":"41","author":[{"family":"Zimmerman","given":"Barry J."}],"issued":{"date-parts":[["2002"]],"season":"Spring"}}}],"schema":"https://github.com/citation-style-language/schema/raw/master/csl-citation.json"} </w:instrText>
      </w:r>
      <w:r w:rsidR="006C05B6" w:rsidRPr="000704FD">
        <w:rPr>
          <w:rFonts w:ascii="Times New Roman" w:hAnsi="Times New Roman" w:cs="Times New Roman"/>
        </w:rPr>
        <w:fldChar w:fldCharType="separate"/>
      </w:r>
      <w:r w:rsidR="006C05B6" w:rsidRPr="000704FD">
        <w:rPr>
          <w:rFonts w:ascii="Times New Roman" w:hAnsi="Times New Roman" w:cs="Times New Roman"/>
        </w:rPr>
        <w:t>(Flavell, 1979; Zimmerman, 2002)</w:t>
      </w:r>
      <w:r w:rsidR="006C05B6" w:rsidRPr="000704FD">
        <w:rPr>
          <w:rFonts w:ascii="Times New Roman" w:hAnsi="Times New Roman" w:cs="Times New Roman"/>
        </w:rPr>
        <w:fldChar w:fldCharType="end"/>
      </w:r>
      <w:r w:rsidR="00432639" w:rsidRPr="000704FD">
        <w:rPr>
          <w:rFonts w:ascii="Times New Roman" w:hAnsi="Times New Roman" w:cs="Times New Roman"/>
        </w:rPr>
        <w:t>.</w:t>
      </w:r>
    </w:p>
    <w:p w14:paraId="281E9F9B" w14:textId="7D210DC8" w:rsidR="00442BFC" w:rsidRPr="00B634FB" w:rsidRDefault="004628B3" w:rsidP="000704FD">
      <w:pPr>
        <w:spacing w:line="240" w:lineRule="auto"/>
        <w:jc w:val="center"/>
        <w:rPr>
          <w:rFonts w:ascii="Times New Roman" w:hAnsi="Times New Roman" w:cs="Times New Roman"/>
          <w:b/>
          <w:bCs/>
        </w:rPr>
      </w:pPr>
      <w:r w:rsidRPr="00B634FB">
        <w:rPr>
          <w:rFonts w:ascii="Times New Roman" w:hAnsi="Times New Roman" w:cs="Times New Roman"/>
          <w:b/>
          <w:bCs/>
        </w:rPr>
        <w:t>Methods</w:t>
      </w:r>
    </w:p>
    <w:p w14:paraId="0A522F7F" w14:textId="703D697B" w:rsidR="004628B3" w:rsidRPr="000704FD" w:rsidRDefault="004628B3" w:rsidP="000704FD">
      <w:pPr>
        <w:spacing w:line="240" w:lineRule="auto"/>
        <w:rPr>
          <w:rFonts w:ascii="Times New Roman" w:hAnsi="Times New Roman" w:cs="Times New Roman"/>
          <w:b/>
          <w:bCs/>
        </w:rPr>
      </w:pPr>
      <w:r w:rsidRPr="000704FD">
        <w:rPr>
          <w:rFonts w:ascii="Times New Roman" w:hAnsi="Times New Roman" w:cs="Times New Roman"/>
          <w:b/>
          <w:bCs/>
        </w:rPr>
        <w:t>Research Design and Interpretive Orientation</w:t>
      </w:r>
    </w:p>
    <w:p w14:paraId="0F458B76" w14:textId="6A18EB05" w:rsidR="00730A74" w:rsidRPr="000704FD" w:rsidRDefault="000868BE" w:rsidP="00537F57">
      <w:pPr>
        <w:spacing w:line="240" w:lineRule="auto"/>
        <w:ind w:firstLine="720"/>
        <w:rPr>
          <w:rFonts w:ascii="Times New Roman" w:hAnsi="Times New Roman" w:cs="Times New Roman"/>
        </w:rPr>
      </w:pPr>
      <w:r w:rsidRPr="000868BE">
        <w:rPr>
          <w:rFonts w:ascii="Times New Roman" w:hAnsi="Times New Roman" w:cs="Times New Roman"/>
        </w:rPr>
        <w:t>This study employed a qualitative design grounded in hermeneutic textual interpretation, treating student reflections as contextually situated texts shaped by instructional and institutional conditions</w:t>
      </w:r>
      <w:r w:rsidR="00174FB8" w:rsidRPr="000704FD">
        <w:rPr>
          <w:rFonts w:ascii="Times New Roman" w:hAnsi="Times New Roman" w:cs="Times New Roman"/>
        </w:rPr>
        <w:t xml:space="preserve"> </w:t>
      </w:r>
      <w:r w:rsidR="00272783" w:rsidRPr="000704FD">
        <w:rPr>
          <w:rFonts w:ascii="Times New Roman" w:hAnsi="Times New Roman" w:cs="Times New Roman"/>
        </w:rPr>
        <w:fldChar w:fldCharType="begin"/>
      </w:r>
      <w:r w:rsidR="00D170E5" w:rsidRPr="000704FD">
        <w:rPr>
          <w:rFonts w:ascii="Times New Roman" w:hAnsi="Times New Roman" w:cs="Times New Roman"/>
        </w:rPr>
        <w:instrText xml:space="preserve"> ADDIN ZOTERO_ITEM CSL_CITATION {"citationID":"PlbSpigb","properties":{"formattedCitation":"(Gadamer, 1976; Prasad, 2002; Schwandt, 2000)","plainCitation":"(Gadamer, 1976; Prasad, 2002; Schwandt, 2000)","dontUpdate":true,"noteIndex":0},"citationItems":[{"id":2897,"uris":["http://zotero.org/users/14842315/items/9FM2XVER"],"itemData":{"id":2897,"type":"book","note":"issue: 1","publisher":"University of California Press","title":"Philosophical hermeneutics","volume":"88","author":[{"family":"Gadamer","given":"Hans-Georg"}],"issued":{"date-parts":[["1976"]]}}},{"id":5350,"uris":["http://zotero.org/users/14842315/items/32WL6CB2"],"itemData":{"id":5350,"type":"article-journal","container-title":"Organizational Research Methods","issue":"1","language":"en","page":"12-33","source":"Zotero","title":"The Contest Over Meaning: Hermeneutics as an Interpretive Methodology for Understanding Texts","volume":"5","author":[{"family":"Prasad","given":"Anshuman"}],"issued":{"date-parts":[["2002",1]]}}},{"id":12294,"uris":["http://zotero.org/users/14842315/items/6WSJM3UT"],"itemData":{"id":12294,"type":"chapter","container-title":"Handbook of Qualitative Research","page":"189-214","title":"Three epistemological stances for qualitative inquiry: Interpretivism, hermeneutics, and social constructivism","author":[{"family":"Schwandt","given":"Thomas"}],"issued":{"date-parts":[["2000",1,1]]}}}],"schema":"https://github.com/citation-style-language/schema/raw/master/csl-citation.json"} </w:instrText>
      </w:r>
      <w:r w:rsidR="00272783" w:rsidRPr="000704FD">
        <w:rPr>
          <w:rFonts w:ascii="Times New Roman" w:hAnsi="Times New Roman" w:cs="Times New Roman"/>
        </w:rPr>
        <w:fldChar w:fldCharType="separate"/>
      </w:r>
      <w:r w:rsidR="00516F6A" w:rsidRPr="000704FD">
        <w:rPr>
          <w:rFonts w:ascii="Times New Roman" w:hAnsi="Times New Roman" w:cs="Times New Roman"/>
        </w:rPr>
        <w:t>(Gadamer, 1976; Prasad, 2002)</w:t>
      </w:r>
      <w:r w:rsidR="00272783" w:rsidRPr="000704FD">
        <w:rPr>
          <w:rFonts w:ascii="Times New Roman" w:hAnsi="Times New Roman" w:cs="Times New Roman"/>
        </w:rPr>
        <w:fldChar w:fldCharType="end"/>
      </w:r>
      <w:r w:rsidR="00174FB8" w:rsidRPr="000704FD">
        <w:rPr>
          <w:rFonts w:ascii="Times New Roman" w:hAnsi="Times New Roman" w:cs="Times New Roman"/>
        </w:rPr>
        <w:t xml:space="preserve">. </w:t>
      </w:r>
      <w:r w:rsidR="00205458" w:rsidRPr="00205458">
        <w:rPr>
          <w:rFonts w:ascii="Times New Roman" w:hAnsi="Times New Roman" w:cs="Times New Roman"/>
        </w:rPr>
        <w:t xml:space="preserve">Analysis focused on how students interpreted and revised meanings over time through iterative, dialogical engagement with the data. Consistent with hermeneutic approaches, understanding developed through recursive movement between individual reflections, longitudinal trajectories, and broader contextual conditions. This longitudinal engagement enabled attention to how students’ interpretations shifted across </w:t>
      </w:r>
      <w:proofErr w:type="gramStart"/>
      <w:r w:rsidR="00205458" w:rsidRPr="00205458">
        <w:rPr>
          <w:rFonts w:ascii="Times New Roman" w:hAnsi="Times New Roman" w:cs="Times New Roman"/>
        </w:rPr>
        <w:t>tasks and</w:t>
      </w:r>
      <w:proofErr w:type="gramEnd"/>
      <w:r w:rsidR="00205458" w:rsidRPr="00205458">
        <w:rPr>
          <w:rFonts w:ascii="Times New Roman" w:hAnsi="Times New Roman" w:cs="Times New Roman"/>
        </w:rPr>
        <w:t xml:space="preserve"> over time. Analytic attention was directed toward language use, patterns of tension, and moments where students negotiated uncertainty, legitimacy, and judgment in relation to AI. Tensions, shifts, and inconsistencies were treated as analytically meaningful, offering insight into processes of uncertainty and recalibration.</w:t>
      </w:r>
    </w:p>
    <w:p w14:paraId="42D08B67" w14:textId="77777777" w:rsidR="00C814D8" w:rsidRPr="000704FD" w:rsidRDefault="00C814D8" w:rsidP="000704FD">
      <w:pPr>
        <w:spacing w:line="240" w:lineRule="auto"/>
        <w:rPr>
          <w:rFonts w:ascii="Times New Roman" w:hAnsi="Times New Roman" w:cs="Times New Roman"/>
          <w:b/>
          <w:bCs/>
        </w:rPr>
      </w:pPr>
      <w:r w:rsidRPr="000704FD">
        <w:rPr>
          <w:rFonts w:ascii="Times New Roman" w:hAnsi="Times New Roman" w:cs="Times New Roman"/>
          <w:b/>
          <w:bCs/>
        </w:rPr>
        <w:t>Instructional and Institutional Context as Interpretive Lifeworld</w:t>
      </w:r>
    </w:p>
    <w:p w14:paraId="30649564" w14:textId="751C4EA1" w:rsidR="007F460E" w:rsidRPr="000704FD" w:rsidRDefault="0089011C" w:rsidP="000704FD">
      <w:pPr>
        <w:spacing w:line="240" w:lineRule="auto"/>
        <w:ind w:firstLine="720"/>
        <w:rPr>
          <w:rFonts w:ascii="Times New Roman" w:hAnsi="Times New Roman" w:cs="Times New Roman"/>
        </w:rPr>
      </w:pPr>
      <w:r w:rsidRPr="0089011C">
        <w:rPr>
          <w:rFonts w:ascii="Times New Roman" w:hAnsi="Times New Roman" w:cs="Times New Roman"/>
        </w:rPr>
        <w:t xml:space="preserve">The study was situated within a graduate-level research methods course, with instructional and institutional conditions understood as part of students’ interpretive lifeworld </w:t>
      </w:r>
      <w:r w:rsidR="007F460E" w:rsidRPr="00537F57">
        <w:rPr>
          <w:rFonts w:ascii="Times New Roman" w:hAnsi="Times New Roman" w:cs="Times New Roman"/>
        </w:rPr>
        <w:t>(</w:t>
      </w:r>
      <w:r w:rsidR="007F460E" w:rsidRPr="00537F57">
        <w:rPr>
          <w:rFonts w:ascii="Times New Roman" w:hAnsi="Times New Roman" w:cs="Times New Roman"/>
          <w:i/>
          <w:iCs/>
        </w:rPr>
        <w:t>Lebenswelt</w:t>
      </w:r>
      <w:r w:rsidR="007F460E" w:rsidRPr="00537F57">
        <w:rPr>
          <w:rFonts w:ascii="Times New Roman" w:hAnsi="Times New Roman" w:cs="Times New Roman"/>
        </w:rPr>
        <w:t>), understood as the taken-for-granted background of norms, roles,</w:t>
      </w:r>
      <w:r w:rsidR="007F460E" w:rsidRPr="000704FD">
        <w:rPr>
          <w:rFonts w:ascii="Times New Roman" w:hAnsi="Times New Roman" w:cs="Times New Roman"/>
        </w:rPr>
        <w:t xml:space="preserve"> practices, and expectations </w:t>
      </w:r>
      <w:r w:rsidR="007F460E" w:rsidRPr="000704FD">
        <w:rPr>
          <w:rFonts w:ascii="Times New Roman" w:hAnsi="Times New Roman" w:cs="Times New Roman"/>
        </w:rPr>
        <w:fldChar w:fldCharType="begin"/>
      </w:r>
      <w:r w:rsidR="007F460E" w:rsidRPr="000704FD">
        <w:rPr>
          <w:rFonts w:ascii="Times New Roman" w:hAnsi="Times New Roman" w:cs="Times New Roman"/>
        </w:rPr>
        <w:instrText xml:space="preserve"> ADDIN ZOTERO_ITEM CSL_CITATION {"citationID":"REArz893","properties":{"formattedCitation":"(Gadamer, 1960)","plainCitation":"(Gadamer, 1960)","noteIndex":0},"citationItems":[{"id":14028,"uris":["http://zotero.org/users/14842315/items/BQ5TU8AS"],"itemData":{"id":14028,"type":"book","edition":"Second, Revised Editi","language":"en","license":"All rights reserved","note":"Item ID: _:n2\npublisher: Bloomsbury Publishing","publisher":"Continuum Publishing Group","title":"Truth and Method","author":[{"family":"Gadamer","given":"Hans-Georg"}],"translator":[{"family":"Weinsheimer","given":"Joel"},{"family":"Marshall","given":"Donald G."}],"issued":{"date-parts":[["1960"]],"season":"2004"}}}],"schema":"https://github.com/citation-style-language/schema/raw/master/csl-citation.json"} </w:instrText>
      </w:r>
      <w:r w:rsidR="007F460E" w:rsidRPr="000704FD">
        <w:rPr>
          <w:rFonts w:ascii="Times New Roman" w:hAnsi="Times New Roman" w:cs="Times New Roman"/>
        </w:rPr>
        <w:fldChar w:fldCharType="separate"/>
      </w:r>
      <w:r w:rsidR="007F460E" w:rsidRPr="000704FD">
        <w:rPr>
          <w:rFonts w:ascii="Times New Roman" w:hAnsi="Times New Roman" w:cs="Times New Roman"/>
        </w:rPr>
        <w:t>(Gadamer, 1960)</w:t>
      </w:r>
      <w:r w:rsidR="007F460E" w:rsidRPr="000704FD">
        <w:rPr>
          <w:rFonts w:ascii="Times New Roman" w:hAnsi="Times New Roman" w:cs="Times New Roman"/>
        </w:rPr>
        <w:fldChar w:fldCharType="end"/>
      </w:r>
      <w:r w:rsidR="007F460E" w:rsidRPr="000704FD">
        <w:rPr>
          <w:rFonts w:ascii="Times New Roman" w:hAnsi="Times New Roman" w:cs="Times New Roman"/>
        </w:rPr>
        <w:t xml:space="preserve">. </w:t>
      </w:r>
      <w:r w:rsidR="009746EF" w:rsidRPr="009746EF">
        <w:rPr>
          <w:rFonts w:ascii="Times New Roman" w:hAnsi="Times New Roman" w:cs="Times New Roman"/>
        </w:rPr>
        <w:t xml:space="preserve">AI-supported activities were integrated </w:t>
      </w:r>
      <w:proofErr w:type="gramStart"/>
      <w:r w:rsidR="009746EF" w:rsidRPr="009746EF">
        <w:rPr>
          <w:rFonts w:ascii="Times New Roman" w:hAnsi="Times New Roman" w:cs="Times New Roman"/>
        </w:rPr>
        <w:t>across</w:t>
      </w:r>
      <w:proofErr w:type="gramEnd"/>
      <w:r w:rsidR="009746EF" w:rsidRPr="009746EF">
        <w:rPr>
          <w:rFonts w:ascii="Times New Roman" w:hAnsi="Times New Roman" w:cs="Times New Roman"/>
        </w:rPr>
        <w:t xml:space="preserve"> the semester, moving from low-stakes exploration to more complex tasks requiring greater self-regulation. Students engaged AI in activities such as brainstorming, literature review, method comparison, and data analysis, with emphasis on using AI as a support for thinking rather than a substitute for disciplinary judgment. Activities were sequenced to gradually increase cognitive demand and reduce reliance on instructor guidance, requiring students to take greater responsibility for evaluating AI outputs.</w:t>
      </w:r>
    </w:p>
    <w:p w14:paraId="29232CF7" w14:textId="5398B0A2" w:rsidR="00576A67" w:rsidRPr="000704FD" w:rsidRDefault="009746EF" w:rsidP="000704FD">
      <w:pPr>
        <w:spacing w:line="240" w:lineRule="auto"/>
        <w:ind w:firstLine="720"/>
        <w:rPr>
          <w:rFonts w:ascii="Times New Roman" w:hAnsi="Times New Roman" w:cs="Times New Roman"/>
        </w:rPr>
      </w:pPr>
      <w:r w:rsidRPr="009746EF">
        <w:rPr>
          <w:rFonts w:ascii="Times New Roman" w:hAnsi="Times New Roman" w:cs="Times New Roman"/>
        </w:rPr>
        <w:t xml:space="preserve">AI tools included Gemini and Copilot (institutionally supported), along with </w:t>
      </w:r>
      <w:proofErr w:type="spellStart"/>
      <w:r w:rsidRPr="009746EF">
        <w:rPr>
          <w:rFonts w:ascii="Times New Roman" w:hAnsi="Times New Roman" w:cs="Times New Roman"/>
        </w:rPr>
        <w:t>NotebookLM</w:t>
      </w:r>
      <w:proofErr w:type="spellEnd"/>
      <w:r w:rsidRPr="009746EF">
        <w:rPr>
          <w:rFonts w:ascii="Times New Roman" w:hAnsi="Times New Roman" w:cs="Times New Roman"/>
        </w:rPr>
        <w:t xml:space="preserve"> and Google Scholar Labs as they became available. Across the course, AI was framed as both useful and limited, with instructional design encouraging students to engage its affordances while critically evaluating its limitations. This approach reflects perspectives that position AI as a sociotechnical system shaped by tools, practices, and institutional conditions</w:t>
      </w:r>
      <w:r>
        <w:rPr>
          <w:rFonts w:ascii="Times New Roman" w:hAnsi="Times New Roman" w:cs="Times New Roman"/>
        </w:rPr>
        <w:t xml:space="preserve"> </w:t>
      </w:r>
      <w:r w:rsidR="00F52DFF" w:rsidRPr="000704FD">
        <w:rPr>
          <w:rFonts w:ascii="Times New Roman" w:hAnsi="Times New Roman" w:cs="Times New Roman"/>
        </w:rPr>
        <w:fldChar w:fldCharType="begin"/>
      </w:r>
      <w:r w:rsidR="00AC00A5" w:rsidRPr="000704FD">
        <w:rPr>
          <w:rFonts w:ascii="Times New Roman" w:hAnsi="Times New Roman" w:cs="Times New Roman"/>
        </w:rPr>
        <w:instrText xml:space="preserve"> ADDIN ZOTERO_ITEM CSL_CITATION {"citationID":"cisLjegR","properties":{"formattedCitation":"(Selwyn, 2022; Williamson &amp; Eynon, 2020; Xiao et al., 2025)","plainCitation":"(Selwyn, 2022; Williamson &amp; Eynon, 2020; Xiao et al., 2025)","noteIndex":0},"citationItems":[{"id":16737,"uris":["http://zotero.org/users/14842315/items/SQW4DFLM"],"itemData":{"id":16737,"type":"article-journal","abstract":"In light of fast-growing popular, political and professional discourses around AI in education, this article outlines five broad areas of contention that merit closer attention in future discussion and decision-making. These include: (1) taking care to focus on issues relating to 'actually existing' AI rather than the overselling of speculative AI technologies; (2) clearly foregrounding the limitations of AI in terms of modelling social contexts, and simulating human intelligence, reckoning, autonomy and emotions; (3) foregrounding the social harms associated with AI use; (4) acknowledging the value-driven nature of claims around AI; and (5) paying closer attention to the environmental and ecological sustainability of continued AI development and implementation. Thus, in contrast to popular notions of AI as a neutral tool, the argument is made for engaging with the ongoing use of AI in education as a political action that has varying impacts on different groups of people in various educational contexts.","container-title":"European Journal of Education","DOI":"10.1111/ejed.12532","ISSN":"0141-8211, 1465-3435","issue":"4","journalAbbreviation":"Euro J of Education","language":"en","page":"620-631","source":"DOI.org (Crossref)","title":"The future of AI and education: Some cautionary notes","volume":"57","author":[{"family":"Selwyn","given":"Neil"}],"issued":{"date-parts":[["2022",12]]}}},{"id":16738,"uris":["http://zotero.org/users/14842315/items/L2UXTZ2F"],"itemData":{"id":16738,"type":"article-journal","container-title":"Learning, Media and Technology","DOI":"10.1080/17439884.2020.1798995","ISSN":"1743-9884, 1743-9892","issue":"3","journalAbbreviation":"Learning, Media and Technology","language":"en","page":"223-235","source":"DOI.org (Crossref)","title":"Historical threads, missing links, and future directions in AI in education","volume":"45","author":[{"family":"Williamson","given":"Ben"},{"family":"Eynon","given":"Rebecca"}],"issued":{"date-parts":[["2020",7,2]]}}},{"id":18635,"uris":["http://zotero.org/users/14842315/items/IX28PSM3"],"itemData":{"id":18635,"type":"article-journal","abstract":"Advocates of AI in Education (AIEd) assert that the current generation of technologies, collectively dubbed artificial intelligence, including generative artificial intelligence (GenAI), promise results that can transform our conceptions of what education looks like. Therefore, it is imperative to investigate how educators perceive GenAI and its potential use and future impact on education. Adopting the methodology of collective writing as an inquiry, this study reports on the participating educators’ perceived grey areas (i.e. issues that are unclear and/or controversial) and recommendations on future research. The grey areas reported cover decision-making on the use of GenAI, AI ethics, appropriate levels of use of GenAI in education, impact on learning and teaching, policy, data, GenAI outputs, humans in the loop and public–private partnerships. Recommended directions for future research include learning and teaching, ethical and legal implications, ownership/authorship, funding, technology, research support, AI metaphor and types of research. Each theme or subtheme is presented in the form of a statement, followed by a justification. These findings serve as a call to action to encourage a continuing debate around GenAI and to engage more educators in research. The paper concludes that unless we can ask the right questions now, we may find that, in the pursuit of greater efficiency, we have lost the very essence of what it means to educate and learn.","container-title":"TechTrends","DOI":"10.1007/s11528-025-01060-6","ISSN":"8756-3894, 1559-7075","issue":"3","journalAbbreviation":"TechTrends","language":"en","page":"582-597","source":"DOI.org (Crossref)","title":"Venturing into the Unknown: Critical Insights into Grey Areas and Pioneering Future Directions in Educational Generative AI Research","title-short":"Venturing into the Unknown","volume":"69","author":[{"family":"Xiao","given":"Junhong"},{"family":"Bozkurt","given":"Aras"},{"family":"Nichols","given":"Mark"},{"family":"Pazurek","given":"Angelica"},{"family":"Stracke","given":"Christian M."},{"family":"Bai","given":"John Y. H."},{"family":"Farrow","given":"Robert"},{"family":"Mulligan","given":"Dónal"},{"family":"Nerantzi","given":"Chrissi"},{"family":"Sharma","given":"Ramesh Chander"},{"family":"Singh","given":"Lenandlar"},{"family":"Frumin","given":"Isak"},{"family":"Swindell","given":"Andrew"},{"family":"Honeychurch","given":"Sarah"},{"family":"Bond","given":"Melissa"},{"family":"Dron","given":"Jon"},{"family":"Moore","given":"Stephanie"},{"family":"Leng","given":"Jing"},{"family":"Van Tryon","given":"Patricia J. Slagter"},{"family":"Garcia","given":"Manuel"},{"family":"Terentev","given":"Evgeniy"},{"family":"Tlili","given":"Ahmed"},{"family":"Chiu","given":"Thomas K. F."},{"family":"Hodges","given":"Charles B."},{"family":"Jandrić","given":"Petar"},{"family":"Sidorkin","given":"Alexander"},{"family":"Crompton","given":"Helen"},{"family":"Hrastinski","given":"Stefan"},{"family":"Koutropoulos","given":"Apostolos"},{"family":"Cukurova","given":"Mutlu"},{"family":"Shea","given":"Peter"},{"family":"Watson","given":"Steven"},{"family":"Zhang","given":"Kai"},{"family":"Lee","given":"Kyungmee"},{"family":"Costello","given":"Eamon"},{"family":"Sharples","given":"Mike"},{"family":"Vorochkov","given":"Anton"},{"family":"Alexander","given":"Bryan"},{"family":"Bali","given":"Maha"},{"family":"Moore","given":"Robert L."},{"family":"Zawacki-Richter","given":"Olaf"},{"family":"Asino","given":"Tutaleni Iita"},{"family":"Huijser","given":"Henk"},{"family":"Zheng","given":"Chanjin"},{"family":"Sani-Bozkurt","given":"Sunagül"},{"family":"Duart","given":"Josep M."},{"family":"Themeli","given":"Chryssa"}],"issued":{"date-parts":[["2025",5]]}}}],"schema":"https://github.com/citation-style-language/schema/raw/master/csl-citation.json"} </w:instrText>
      </w:r>
      <w:r w:rsidR="00F52DFF" w:rsidRPr="000704FD">
        <w:rPr>
          <w:rFonts w:ascii="Times New Roman" w:hAnsi="Times New Roman" w:cs="Times New Roman"/>
        </w:rPr>
        <w:fldChar w:fldCharType="separate"/>
      </w:r>
      <w:r w:rsidR="00AC00A5" w:rsidRPr="000704FD">
        <w:rPr>
          <w:rFonts w:ascii="Times New Roman" w:hAnsi="Times New Roman" w:cs="Times New Roman"/>
        </w:rPr>
        <w:t>(Selwyn, 2022; Williamson &amp; Eynon, 2020; Xiao et al., 2025)</w:t>
      </w:r>
      <w:r w:rsidR="00F52DFF" w:rsidRPr="000704FD">
        <w:rPr>
          <w:rFonts w:ascii="Times New Roman" w:hAnsi="Times New Roman" w:cs="Times New Roman"/>
        </w:rPr>
        <w:fldChar w:fldCharType="end"/>
      </w:r>
      <w:r w:rsidR="00F52DFF" w:rsidRPr="000704FD">
        <w:rPr>
          <w:rFonts w:ascii="Times New Roman" w:hAnsi="Times New Roman" w:cs="Times New Roman"/>
        </w:rPr>
        <w:t xml:space="preserve">. </w:t>
      </w:r>
    </w:p>
    <w:p w14:paraId="2E0F0396" w14:textId="164B0089" w:rsidR="009746EF" w:rsidRPr="000704FD" w:rsidRDefault="009746EF" w:rsidP="009746EF">
      <w:pPr>
        <w:spacing w:line="240" w:lineRule="auto"/>
        <w:ind w:firstLine="720"/>
        <w:rPr>
          <w:rFonts w:ascii="Times New Roman" w:hAnsi="Times New Roman" w:cs="Times New Roman"/>
        </w:rPr>
      </w:pPr>
      <w:r w:rsidRPr="009746EF">
        <w:rPr>
          <w:rFonts w:ascii="Times New Roman" w:hAnsi="Times New Roman" w:cs="Times New Roman"/>
        </w:rPr>
        <w:t>Faculty modeling, peer interaction, and institutional context shaped the learning environment. Instructor transparency and peer dialogue supported a culture of experimentation alongside critical evaluation. The course occurred during early implementation of a university AI initiative</w:t>
      </w:r>
      <w:r>
        <w:rPr>
          <w:rFonts w:ascii="Times New Roman" w:hAnsi="Times New Roman" w:cs="Times New Roman"/>
        </w:rPr>
        <w:t xml:space="preserve"> </w:t>
      </w:r>
      <w:r w:rsidRPr="000704FD">
        <w:rPr>
          <w:rFonts w:ascii="Times New Roman" w:hAnsi="Times New Roman" w:cs="Times New Roman"/>
        </w:rPr>
        <w:fldChar w:fldCharType="begin"/>
      </w:r>
      <w:r w:rsidRPr="000704FD">
        <w:rPr>
          <w:rFonts w:ascii="Times New Roman" w:hAnsi="Times New Roman" w:cs="Times New Roman"/>
        </w:rPr>
        <w:instrText xml:space="preserve"> ADDIN ZOTERO_ITEM CSL_CITATION {"citationID":"YWKN1S54","properties":{"formattedCitation":"(The Ohio State University, 2025)","plainCitation":"(The Ohio State University, 2025)","dontUpdate":true,"noteIndex":0},"citationItems":[{"id":16786,"uris":["http://zotero.org/users/14842315/items/9DHR7M9G"],"itemData":{"id":16786,"type":"webpage","language":"en","title":"AI Fluency: FAQs | Office of Academic Affairs","title-short":"AI Fluency","URL":"https://oaa.osu.edu/ai-fluency-faqs","author":[{"literal":"The Ohio State University"}],"accessed":{"date-parts":[["2026",1,13]]},"issued":{"date-parts":[["2025"]]}}}],"schema":"https://github.com/citation-style-language/schema/raw/master/csl-citation.json"} </w:instrText>
      </w:r>
      <w:r w:rsidRPr="000704FD">
        <w:rPr>
          <w:rFonts w:ascii="Times New Roman" w:hAnsi="Times New Roman" w:cs="Times New Roman"/>
        </w:rPr>
        <w:fldChar w:fldCharType="separate"/>
      </w:r>
      <w:r w:rsidRPr="000704FD">
        <w:rPr>
          <w:rFonts w:ascii="Times New Roman" w:hAnsi="Times New Roman" w:cs="Times New Roman"/>
        </w:rPr>
        <w:t>([STATE], 2025)</w:t>
      </w:r>
      <w:r w:rsidRPr="000704FD">
        <w:rPr>
          <w:rFonts w:ascii="Times New Roman" w:hAnsi="Times New Roman" w:cs="Times New Roman"/>
        </w:rPr>
        <w:fldChar w:fldCharType="end"/>
      </w:r>
      <w:r w:rsidRPr="009746EF">
        <w:rPr>
          <w:rFonts w:ascii="Times New Roman" w:hAnsi="Times New Roman" w:cs="Times New Roman"/>
        </w:rPr>
        <w:t>, situating AI use within evolving institutional expectations</w:t>
      </w:r>
      <w:r>
        <w:rPr>
          <w:rFonts w:ascii="Times New Roman" w:hAnsi="Times New Roman" w:cs="Times New Roman"/>
        </w:rPr>
        <w:t>.</w:t>
      </w:r>
    </w:p>
    <w:p w14:paraId="4A79A446" w14:textId="7C6D92ED" w:rsidR="00730A74" w:rsidRPr="000704FD" w:rsidRDefault="004628B3" w:rsidP="000704FD">
      <w:pPr>
        <w:spacing w:line="240" w:lineRule="auto"/>
        <w:jc w:val="center"/>
        <w:rPr>
          <w:rFonts w:ascii="Times New Roman" w:hAnsi="Times New Roman" w:cs="Times New Roman"/>
          <w:b/>
          <w:bCs/>
        </w:rPr>
      </w:pPr>
      <w:r w:rsidRPr="000704FD">
        <w:rPr>
          <w:rFonts w:ascii="Times New Roman" w:hAnsi="Times New Roman" w:cs="Times New Roman"/>
          <w:b/>
          <w:bCs/>
        </w:rPr>
        <w:t>Data Sources</w:t>
      </w:r>
      <w:r w:rsidR="0085199C" w:rsidRPr="000704FD">
        <w:rPr>
          <w:rFonts w:ascii="Times New Roman" w:hAnsi="Times New Roman" w:cs="Times New Roman"/>
          <w:b/>
          <w:bCs/>
        </w:rPr>
        <w:t xml:space="preserve">, Collection, </w:t>
      </w:r>
      <w:r w:rsidR="009F60F6" w:rsidRPr="000704FD">
        <w:rPr>
          <w:rFonts w:ascii="Times New Roman" w:hAnsi="Times New Roman" w:cs="Times New Roman"/>
          <w:b/>
          <w:bCs/>
        </w:rPr>
        <w:t xml:space="preserve">and </w:t>
      </w:r>
      <w:r w:rsidR="0085199C" w:rsidRPr="000704FD">
        <w:rPr>
          <w:rFonts w:ascii="Times New Roman" w:hAnsi="Times New Roman" w:cs="Times New Roman"/>
          <w:b/>
          <w:bCs/>
        </w:rPr>
        <w:t>Analysis</w:t>
      </w:r>
    </w:p>
    <w:p w14:paraId="6D499C21" w14:textId="77777777" w:rsidR="004628B3" w:rsidRPr="000704FD" w:rsidRDefault="004628B3" w:rsidP="000704FD">
      <w:pPr>
        <w:spacing w:line="240" w:lineRule="auto"/>
        <w:rPr>
          <w:rFonts w:ascii="Times New Roman" w:hAnsi="Times New Roman" w:cs="Times New Roman"/>
          <w:b/>
          <w:bCs/>
        </w:rPr>
      </w:pPr>
      <w:r w:rsidRPr="000704FD">
        <w:rPr>
          <w:rFonts w:ascii="Times New Roman" w:hAnsi="Times New Roman" w:cs="Times New Roman"/>
          <w:b/>
          <w:bCs/>
        </w:rPr>
        <w:t>Written Reflective Artifacts</w:t>
      </w:r>
    </w:p>
    <w:p w14:paraId="0C371192" w14:textId="431A8D89" w:rsidR="00730A74" w:rsidRPr="000704FD" w:rsidRDefault="0036263D" w:rsidP="00537F57">
      <w:pPr>
        <w:spacing w:line="240" w:lineRule="auto"/>
        <w:ind w:firstLine="720"/>
        <w:rPr>
          <w:rFonts w:ascii="Times New Roman" w:hAnsi="Times New Roman" w:cs="Times New Roman"/>
        </w:rPr>
      </w:pPr>
      <w:r w:rsidRPr="000704FD">
        <w:rPr>
          <w:rFonts w:ascii="Times New Roman" w:hAnsi="Times New Roman" w:cs="Times New Roman"/>
        </w:rPr>
        <w:t>T</w:t>
      </w:r>
      <w:r w:rsidR="008E1448" w:rsidRPr="000704FD">
        <w:rPr>
          <w:rFonts w:ascii="Times New Roman" w:hAnsi="Times New Roman" w:cs="Times New Roman"/>
        </w:rPr>
        <w:t xml:space="preserve">he primary data source consisted of written reflective artifacts produced by graduate students across a 15-week semester. Of the 10 students enrolled in the course, nine consented to </w:t>
      </w:r>
      <w:r w:rsidR="008E1448" w:rsidRPr="000704FD">
        <w:rPr>
          <w:rFonts w:ascii="Times New Roman" w:hAnsi="Times New Roman" w:cs="Times New Roman"/>
        </w:rPr>
        <w:lastRenderedPageBreak/>
        <w:t>participate. Reflections were completed during 11 instructional weeks in response to scaffolded prompts following AI-supported activities and were also included as part of the final examination. Weeks without reflections followed standard course scheduling.</w:t>
      </w:r>
      <w:r w:rsidR="000704FD" w:rsidRPr="000704FD">
        <w:rPr>
          <w:rFonts w:ascii="Times New Roman" w:hAnsi="Times New Roman" w:cs="Times New Roman"/>
        </w:rPr>
        <w:t xml:space="preserve"> </w:t>
      </w:r>
      <w:r w:rsidR="008E1448" w:rsidRPr="000704FD">
        <w:rPr>
          <w:rFonts w:ascii="Times New Roman" w:hAnsi="Times New Roman" w:cs="Times New Roman"/>
        </w:rPr>
        <w:t xml:space="preserve">Prompts invited students to reflect on learning processes, decision-making, uncertainty, confidence, and evolving perceptions of AI’s role in their research work. These reflections were embedded within regular coursework rather than elicited through interviews, positioning reflection as a site of ongoing meaning-making within the learning process </w:t>
      </w:r>
      <w:r w:rsidR="00CA24A8" w:rsidRPr="000704FD">
        <w:rPr>
          <w:rFonts w:ascii="Times New Roman" w:hAnsi="Times New Roman" w:cs="Times New Roman"/>
        </w:rPr>
        <w:fldChar w:fldCharType="begin"/>
      </w:r>
      <w:r w:rsidR="00CA24A8" w:rsidRPr="000704FD">
        <w:rPr>
          <w:rFonts w:ascii="Times New Roman" w:hAnsi="Times New Roman" w:cs="Times New Roman"/>
        </w:rPr>
        <w:instrText xml:space="preserve"> ADDIN ZOTERO_ITEM CSL_CITATION {"citationID":"68HCRylO","properties":{"formattedCitation":"(Zarestky et al., 2022)","plainCitation":"(Zarestky et al., 2022)","noteIndex":0},"citationItems":[{"id":18642,"uris":["http://zotero.org/users/14842315/items/ZP2YW6DQ"],"itemData":{"id":18642,"type":"article-journal","abstract":"Computational Science and Engineering (CS&amp;E) is a relatively new discipline for which no consensus exists on how classes should best be taught. Many CS&amp;E courses are compressed add-ons to existing programs and, consequently, must cover a breadth of topics encompassing modules from mathematics, statistics, computer science, and application disciplines. Additionally, these courses would benefit from embedded 21st century skills, including problem-solving, critical thinking, and lifelong learning behaviors, but such skills are often neglected in course design even though the education and workforce literature are clear about their importance for future careers. The breadth and complexity in course design necessary to incorporate all of these components create a challenge for instructors and students. In this interpretive study, we investigate student experiences and perceived outcomes in a technology-mediated graduate-level CS&amp;E course designed to address the difficulties associated with this wide range of disciplinary topics and professional skills. Our course design is based on reflective practice and principles of metacognition, and applies elements such as a flipped classroom, student journals, and reflective writing exercises; these design goals directly support students’ metacognition and foster self-regulated learning behaviors that, in turn, develop critical thinking and problem-solving abilities. We evaluate this design using student reflective writing and surveys. Results indicate reflective writing activities in course design helped develop students’ metacognitive awareness, self-regulated learning behaviors, problemsolving, and critical thinking skills. This course design can serve as a template for others teaching technologymediated courses in CS&amp;E and related areas, and aiming to develop students’ 21st century professional skills.","container-title":"Computers and Education Open","DOI":"10.1016/j.caeo.2022.100085","ISSN":"26665573","journalAbbreviation":"Computers and Education Open","language":"en","page":"100085","source":"DOI.org (Crossref)","title":"Reflective Writing Supports Metacognition and Self-regulation in Graduate Computational Science and Engineering","volume":"3","author":[{"family":"Zarestky","given":"Jill"},{"family":"Bigler","given":"Michelle"},{"family":"Brazile","given":"Mollie"},{"family":"Lopes","given":"Tobin"},{"family":"Bangerth","given":"Wolfgang"}],"issued":{"date-parts":[["2022",12]]}}}],"schema":"https://github.com/citation-style-language/schema/raw/master/csl-citation.json"} </w:instrText>
      </w:r>
      <w:r w:rsidR="00CA24A8" w:rsidRPr="000704FD">
        <w:rPr>
          <w:rFonts w:ascii="Times New Roman" w:hAnsi="Times New Roman" w:cs="Times New Roman"/>
        </w:rPr>
        <w:fldChar w:fldCharType="separate"/>
      </w:r>
      <w:r w:rsidR="00CA24A8" w:rsidRPr="000704FD">
        <w:rPr>
          <w:rFonts w:ascii="Times New Roman" w:hAnsi="Times New Roman" w:cs="Times New Roman"/>
        </w:rPr>
        <w:t>(Zarestky et al., 2022)</w:t>
      </w:r>
      <w:r w:rsidR="00CA24A8" w:rsidRPr="000704FD">
        <w:rPr>
          <w:rFonts w:ascii="Times New Roman" w:hAnsi="Times New Roman" w:cs="Times New Roman"/>
        </w:rPr>
        <w:fldChar w:fldCharType="end"/>
      </w:r>
      <w:r w:rsidR="00CA24A8" w:rsidRPr="000704FD">
        <w:rPr>
          <w:rFonts w:ascii="Times New Roman" w:hAnsi="Times New Roman" w:cs="Times New Roman"/>
        </w:rPr>
        <w:t xml:space="preserve">. </w:t>
      </w:r>
      <w:r w:rsidRPr="000704FD">
        <w:rPr>
          <w:rFonts w:ascii="Times New Roman" w:hAnsi="Times New Roman" w:cs="Times New Roman"/>
        </w:rPr>
        <w:t xml:space="preserve">Students’ AI chat logs were available to the research team and were used as contextual interpretive materials. Chat logs were not treated as sources of verification but as an additional interpretive lens, particularly when reflections and AI interactions diverged. Such divergence was treated as analytically meaningful, reflecting the situated and shifting nature of students’ sensemaking across tasks, contexts, and perceived levels of risk </w:t>
      </w:r>
      <w:r w:rsidR="00C2379B" w:rsidRPr="000704FD">
        <w:rPr>
          <w:rFonts w:ascii="Times New Roman" w:hAnsi="Times New Roman" w:cs="Times New Roman"/>
        </w:rPr>
        <w:fldChar w:fldCharType="begin"/>
      </w:r>
      <w:r w:rsidR="003F0A48" w:rsidRPr="000704FD">
        <w:rPr>
          <w:rFonts w:ascii="Times New Roman" w:hAnsi="Times New Roman" w:cs="Times New Roman"/>
        </w:rPr>
        <w:instrText xml:space="preserve"> ADDIN ZOTERO_ITEM CSL_CITATION {"citationID":"TTINUWNl","properties":{"formattedCitation":"(Prasad, 2002)","plainCitation":"(Prasad, 2002)","noteIndex":0},"citationItems":[{"id":5350,"uris":["http://zotero.org/users/14842315/items/32WL6CB2"],"itemData":{"id":5350,"type":"article-journal","container-title":"Organizational Research Methods","issue":"1","language":"en","page":"12-33","source":"Zotero","title":"The Contest Over Meaning: Hermeneutics as an Interpretive Methodology for Understanding Texts","volume":"5","author":[{"family":"Prasad","given":"Anshuman"}],"issued":{"date-parts":[["2002",1]]}}}],"schema":"https://github.com/citation-style-language/schema/raw/master/csl-citation.json"} </w:instrText>
      </w:r>
      <w:r w:rsidR="00C2379B" w:rsidRPr="000704FD">
        <w:rPr>
          <w:rFonts w:ascii="Times New Roman" w:hAnsi="Times New Roman" w:cs="Times New Roman"/>
        </w:rPr>
        <w:fldChar w:fldCharType="separate"/>
      </w:r>
      <w:r w:rsidR="003F0A48" w:rsidRPr="000704FD">
        <w:rPr>
          <w:rFonts w:ascii="Times New Roman" w:hAnsi="Times New Roman" w:cs="Times New Roman"/>
        </w:rPr>
        <w:t>(Prasad, 2002)</w:t>
      </w:r>
      <w:r w:rsidR="00C2379B" w:rsidRPr="000704FD">
        <w:rPr>
          <w:rFonts w:ascii="Times New Roman" w:hAnsi="Times New Roman" w:cs="Times New Roman"/>
        </w:rPr>
        <w:fldChar w:fldCharType="end"/>
      </w:r>
      <w:r w:rsidR="00C2379B" w:rsidRPr="000704FD">
        <w:rPr>
          <w:rFonts w:ascii="Times New Roman" w:hAnsi="Times New Roman" w:cs="Times New Roman"/>
        </w:rPr>
        <w:t xml:space="preserve">. </w:t>
      </w:r>
    </w:p>
    <w:p w14:paraId="4CBE3804" w14:textId="379FE593" w:rsidR="004628B3" w:rsidRPr="000704FD" w:rsidRDefault="00F81579" w:rsidP="000704FD">
      <w:pPr>
        <w:spacing w:line="240" w:lineRule="auto"/>
        <w:rPr>
          <w:rFonts w:ascii="Times New Roman" w:hAnsi="Times New Roman" w:cs="Times New Roman"/>
          <w:b/>
          <w:bCs/>
        </w:rPr>
      </w:pPr>
      <w:r w:rsidRPr="000704FD">
        <w:rPr>
          <w:rFonts w:ascii="Times New Roman" w:hAnsi="Times New Roman" w:cs="Times New Roman"/>
          <w:b/>
          <w:bCs/>
        </w:rPr>
        <w:t xml:space="preserve">Hermeneutic </w:t>
      </w:r>
      <w:r w:rsidR="004628B3" w:rsidRPr="000704FD">
        <w:rPr>
          <w:rFonts w:ascii="Times New Roman" w:hAnsi="Times New Roman" w:cs="Times New Roman"/>
          <w:b/>
          <w:bCs/>
        </w:rPr>
        <w:t>Analytic Process</w:t>
      </w:r>
    </w:p>
    <w:p w14:paraId="64180157" w14:textId="541596D4" w:rsidR="0036263D" w:rsidRPr="000704FD" w:rsidRDefault="0036263D" w:rsidP="007E2465">
      <w:pPr>
        <w:spacing w:line="240" w:lineRule="auto"/>
        <w:ind w:firstLine="720"/>
        <w:rPr>
          <w:rFonts w:ascii="Times New Roman" w:hAnsi="Times New Roman" w:cs="Times New Roman"/>
        </w:rPr>
      </w:pPr>
      <w:r w:rsidRPr="000704FD">
        <w:rPr>
          <w:rFonts w:ascii="Times New Roman" w:hAnsi="Times New Roman" w:cs="Times New Roman"/>
        </w:rPr>
        <w:t xml:space="preserve">Analysis involved sustained, iterative engagement with the reflective texts consistent with hermeneutic approaches to interpretation </w:t>
      </w:r>
      <w:r w:rsidR="00D16AAA" w:rsidRPr="000704FD">
        <w:rPr>
          <w:rFonts w:ascii="Times New Roman" w:hAnsi="Times New Roman" w:cs="Times New Roman"/>
        </w:rPr>
        <w:fldChar w:fldCharType="begin"/>
      </w:r>
      <w:r w:rsidR="003F0A48" w:rsidRPr="000704FD">
        <w:rPr>
          <w:rFonts w:ascii="Times New Roman" w:hAnsi="Times New Roman" w:cs="Times New Roman"/>
        </w:rPr>
        <w:instrText xml:space="preserve"> ADDIN ZOTERO_ITEM CSL_CITATION {"citationID":"Yn7zpi9F","properties":{"formattedCitation":"(Crowther &amp; Thomson, 2020; Gopinath &amp; Prasad, 2013; Prasad, 2002)","plainCitation":"(Crowther &amp; Thomson, 2020; Gopinath &amp; Prasad, 2013; Prasad, 2002)","noteIndex":0},"citationItems":[{"id":12437,"uris":["http://zotero.org/users/14842315/items/SYD98KFC"],"itemData":{"id":12437,"type":"article-journal","abstract":"Hermeneutic phenomenology (HP) as research method is increasingly used in health and social science studies to collect and analyze lived experiential descriptions (LEDs) of a phenomenon. However, currently there is little guidance in how to apply philosophical notions to interpret LEDs in HP studies and this approach has faced critique in how meaning is attributed. In this paper, we offer clarity about what “we do” in HP studies. It does not present a comparative analysis of qualitative approaches or claim to present an inflexible “how to” menu. The purpose is to provide guidance to those new to this methodology or/and for less experienced supervisors of postgraduate research students using this approach for the first time. The focus is specifically on conducting HP research and how philosophical notions are used to inform methodological decisions. Drawing upon data from our empirical projects we illuminate how meaning is surfaced, demonstrating a key feature of HP studies in the use of philosophical notions to uncover ontological significance. Consideration is also offered on how trustworthiness in HP studies can be achieved. The key contention is how the philosophical underpinnings of HP thinking, and the constant call to be reflexive, draws forth hitherto unspoken meaning that can inform new thinking and practice.","container-title":"International Journal of Qualitative Methods","DOI":"10.1177/1609406920969264","ISSN":"1609-4069, 1609-4069","journalAbbreviation":"International Journal of Qualitative Methods","language":"en","source":"DOI.org (Crossref)","title":"From Description to Interpretive Leap: Using Philosophical Notions to Unpack and Surface Meaning in Hermeneutic Phenomenology Research","title-short":"From Description to Interpretive Leap","URL":"https://journals.sagepub.com/doi/10.1177/1609406920969264","volume":"19","author":[{"family":"Crowther","given":"Susan"},{"family":"Thomson","given":"Gill"}],"accessed":{"date-parts":[["2025",7,31]]},"issued":{"date-parts":[["2020"]]}}},{"id":16631,"uris":["http://zotero.org/users/14842315/items/HMUGN8CL"],"itemData":{"id":16631,"type":"article-journal","abstract":"The exit of Coca-Cola from India in the 1970s has been extensively used in IB textbooks as illustrating the challenges faced by MNEs in difficult political/regulatory environments. In this article, we use critical hermeneutics to challenge the conventional understanding and interpretation of the event. Instead, an understanding of the macro-economic and historical context suggests that the company had other options available to it and may have lost a valuable opportunity due to inflexible policies. IB textbooks should be wary of falling prey to naïve managerialism and instead provide a critical understanding of the operations within a larger context to their readers.","container-title":"Organization","DOI":"10.1177/1350508412440350","ISSN":"1350-5084, 1461-7323","issue":"2","journalAbbreviation":"Organization","language":"en","page":"212-232","source":"DOI.org (Crossref)","title":"Toward a critical framework for understanding MNE operations: Revisiting Coca-Cola’s exit from India","title-short":"Toward a critical framework for understanding MNE operations","volume":"20","author":[{"family":"Gopinath","given":"C."},{"family":"Prasad","given":"Anshuman"}],"issued":{"date-parts":[["2013",3]]}}},{"id":5350,"uris":["http://zotero.org/users/14842315/items/32WL6CB2"],"itemData":{"id":5350,"type":"article-journal","container-title":"Organizational Research Methods","issue":"1","language":"en","page":"12-33","source":"Zotero","title":"The Contest Over Meaning: Hermeneutics as an Interpretive Methodology for Understanding Texts","volume":"5","author":[{"family":"Prasad","given":"Anshuman"}],"issued":{"date-parts":[["2002",1]]}}}],"schema":"https://github.com/citation-style-language/schema/raw/master/csl-citation.json"} </w:instrText>
      </w:r>
      <w:r w:rsidR="00D16AAA" w:rsidRPr="000704FD">
        <w:rPr>
          <w:rFonts w:ascii="Times New Roman" w:hAnsi="Times New Roman" w:cs="Times New Roman"/>
        </w:rPr>
        <w:fldChar w:fldCharType="separate"/>
      </w:r>
      <w:r w:rsidR="003F0A48" w:rsidRPr="000704FD">
        <w:rPr>
          <w:rFonts w:ascii="Times New Roman" w:hAnsi="Times New Roman" w:cs="Times New Roman"/>
        </w:rPr>
        <w:t>(Crowther &amp; Thomson, 2020; Gopinath &amp; Prasad, 2013; Prasad, 2002)</w:t>
      </w:r>
      <w:r w:rsidR="00D16AAA" w:rsidRPr="000704FD">
        <w:rPr>
          <w:rFonts w:ascii="Times New Roman" w:hAnsi="Times New Roman" w:cs="Times New Roman"/>
        </w:rPr>
        <w:fldChar w:fldCharType="end"/>
      </w:r>
      <w:r w:rsidR="00A71E6E" w:rsidRPr="000704FD">
        <w:rPr>
          <w:rFonts w:ascii="Times New Roman" w:hAnsi="Times New Roman" w:cs="Times New Roman"/>
        </w:rPr>
        <w:t xml:space="preserve">. </w:t>
      </w:r>
      <w:r w:rsidRPr="000704FD">
        <w:rPr>
          <w:rFonts w:ascii="Times New Roman" w:hAnsi="Times New Roman" w:cs="Times New Roman"/>
        </w:rPr>
        <w:t>Interpretation proceeded through recursive movement across levels of the hermeneutic circle, attending to how meaning emerged through relationships among text, context, and interpreter over time.</w:t>
      </w:r>
      <w:r w:rsidR="007E2465">
        <w:rPr>
          <w:rFonts w:ascii="Times New Roman" w:hAnsi="Times New Roman" w:cs="Times New Roman"/>
        </w:rPr>
        <w:t xml:space="preserve"> </w:t>
      </w:r>
      <w:r w:rsidR="00BC0A0C" w:rsidRPr="000704FD">
        <w:rPr>
          <w:rFonts w:ascii="Times New Roman" w:hAnsi="Times New Roman" w:cs="Times New Roman"/>
        </w:rPr>
        <w:t>Reflections</w:t>
      </w:r>
      <w:r w:rsidRPr="000704FD">
        <w:rPr>
          <w:rFonts w:ascii="Times New Roman" w:hAnsi="Times New Roman" w:cs="Times New Roman"/>
        </w:rPr>
        <w:t xml:space="preserve"> were read longitudinally within individual students’ trajectories to identify shifts, recalibrations, and emerging tensions as students engaged with new AI tools, increasingly complex tasks, and evolving expectations</w:t>
      </w:r>
      <w:r w:rsidR="00BC0A0C" w:rsidRPr="000704FD">
        <w:rPr>
          <w:rFonts w:ascii="Times New Roman" w:hAnsi="Times New Roman" w:cs="Times New Roman"/>
        </w:rPr>
        <w:t xml:space="preserve">. Then they </w:t>
      </w:r>
      <w:r w:rsidRPr="000704FD">
        <w:rPr>
          <w:rFonts w:ascii="Times New Roman" w:hAnsi="Times New Roman" w:cs="Times New Roman"/>
        </w:rPr>
        <w:t>were read across students within shared instructional moments, allowing interpretation of how common pedagogical conditions produced divergent meanings and how peer norms and institutional framing shaped students’ understandings of AI use.</w:t>
      </w:r>
    </w:p>
    <w:p w14:paraId="0751EC8B" w14:textId="2DB1BCFB" w:rsidR="00730A74" w:rsidRPr="000704FD" w:rsidRDefault="0080744E" w:rsidP="000704FD">
      <w:pPr>
        <w:spacing w:line="240" w:lineRule="auto"/>
        <w:ind w:firstLine="720"/>
        <w:rPr>
          <w:rFonts w:ascii="Times New Roman" w:hAnsi="Times New Roman" w:cs="Times New Roman"/>
        </w:rPr>
      </w:pPr>
      <w:r w:rsidRPr="000704FD">
        <w:rPr>
          <w:rFonts w:ascii="Times New Roman" w:hAnsi="Times New Roman" w:cs="Times New Roman"/>
        </w:rPr>
        <w:t>I</w:t>
      </w:r>
      <w:r w:rsidR="0036263D" w:rsidRPr="000704FD">
        <w:rPr>
          <w:rFonts w:ascii="Times New Roman" w:hAnsi="Times New Roman" w:cs="Times New Roman"/>
        </w:rPr>
        <w:t>nterpretation</w:t>
      </w:r>
      <w:r w:rsidRPr="000704FD">
        <w:rPr>
          <w:rFonts w:ascii="Times New Roman" w:hAnsi="Times New Roman" w:cs="Times New Roman"/>
        </w:rPr>
        <w:t xml:space="preserve"> of data</w:t>
      </w:r>
      <w:r w:rsidR="0036263D" w:rsidRPr="000704FD">
        <w:rPr>
          <w:rFonts w:ascii="Times New Roman" w:hAnsi="Times New Roman" w:cs="Times New Roman"/>
        </w:rPr>
        <w:t xml:space="preserve"> involved movement between text and context, situating reflections within instructional design, institutional discourse, and researchers’ pedagogical positioning. Analytic attention focused on language use, metaphors, hesitations, contradictions, and moments where students negotiated legitimacy, responsibility, and trust in relation to AI.</w:t>
      </w:r>
      <w:r w:rsidRPr="000704FD">
        <w:rPr>
          <w:rFonts w:ascii="Times New Roman" w:hAnsi="Times New Roman" w:cs="Times New Roman"/>
        </w:rPr>
        <w:t xml:space="preserve"> </w:t>
      </w:r>
      <w:r w:rsidR="0036263D" w:rsidRPr="000704FD">
        <w:rPr>
          <w:rFonts w:ascii="Times New Roman" w:hAnsi="Times New Roman" w:cs="Times New Roman"/>
        </w:rPr>
        <w:t>The analytic process was collaborative and dialogical. Both researchers jointly analyzed an initial subset of reflections to establish a shared interpretive orientation, followed by independent readings of subsequent texts. Regular analytic debriefs surfaced differences in interpretation and prompted return to the data, with disagreement treated as a resource for deepening insight</w:t>
      </w:r>
      <w:r w:rsidR="00BC0A0C" w:rsidRPr="000704FD">
        <w:rPr>
          <w:rFonts w:ascii="Times New Roman" w:hAnsi="Times New Roman" w:cs="Times New Roman"/>
        </w:rPr>
        <w:t xml:space="preserve">. </w:t>
      </w:r>
    </w:p>
    <w:p w14:paraId="564CD9C4" w14:textId="47B42A9A" w:rsidR="00FD451D" w:rsidRPr="000704FD" w:rsidRDefault="00FD451D" w:rsidP="000704FD">
      <w:pPr>
        <w:spacing w:line="240" w:lineRule="auto"/>
        <w:jc w:val="center"/>
        <w:rPr>
          <w:rFonts w:ascii="Times New Roman" w:hAnsi="Times New Roman" w:cs="Times New Roman"/>
          <w:b/>
          <w:bCs/>
        </w:rPr>
      </w:pPr>
      <w:proofErr w:type="gramStart"/>
      <w:r w:rsidRPr="000704FD">
        <w:rPr>
          <w:rFonts w:ascii="Times New Roman" w:hAnsi="Times New Roman" w:cs="Times New Roman"/>
          <w:b/>
          <w:bCs/>
        </w:rPr>
        <w:t>Researcher</w:t>
      </w:r>
      <w:proofErr w:type="gramEnd"/>
      <w:r w:rsidRPr="000704FD">
        <w:rPr>
          <w:rFonts w:ascii="Times New Roman" w:hAnsi="Times New Roman" w:cs="Times New Roman"/>
          <w:b/>
          <w:bCs/>
        </w:rPr>
        <w:t xml:space="preserve"> Positionality, Reflexivity, Trustworthiness</w:t>
      </w:r>
      <w:r w:rsidR="000A1A45" w:rsidRPr="000704FD">
        <w:rPr>
          <w:rFonts w:ascii="Times New Roman" w:hAnsi="Times New Roman" w:cs="Times New Roman"/>
          <w:b/>
          <w:bCs/>
        </w:rPr>
        <w:t>, and Limitations</w:t>
      </w:r>
    </w:p>
    <w:p w14:paraId="7A9985CD" w14:textId="1B8E2959" w:rsidR="00DA15CA" w:rsidRPr="000704FD" w:rsidRDefault="00DA15CA" w:rsidP="000704FD">
      <w:pPr>
        <w:spacing w:line="240" w:lineRule="auto"/>
        <w:ind w:firstLine="720"/>
        <w:rPr>
          <w:rFonts w:ascii="Times New Roman" w:hAnsi="Times New Roman" w:cs="Times New Roman"/>
        </w:rPr>
      </w:pPr>
      <w:r w:rsidRPr="000704FD">
        <w:rPr>
          <w:rFonts w:ascii="Times New Roman" w:hAnsi="Times New Roman" w:cs="Times New Roman"/>
        </w:rPr>
        <w:t>We served as instructors in the course and approached interpretation reflexively, recognizing that understanding is shaped by disciplinary positioning, pedagogical involvement, and institutional context. Both researchers were engaged in department-level AI initiatives, including participation in an AI Fluency Committee and facilitation of AI-related professional development. These roles were visible to students and embedded within the instructional environment, requiring attention to how our positions shaped both the learning context and our interpretations.</w:t>
      </w:r>
      <w:r w:rsidR="00967FB8" w:rsidRPr="000704FD">
        <w:rPr>
          <w:rFonts w:ascii="Times New Roman" w:hAnsi="Times New Roman" w:cs="Times New Roman"/>
        </w:rPr>
        <w:t xml:space="preserve"> </w:t>
      </w:r>
      <w:r w:rsidRPr="000704FD">
        <w:rPr>
          <w:rFonts w:ascii="Times New Roman" w:hAnsi="Times New Roman" w:cs="Times New Roman"/>
        </w:rPr>
        <w:t>AI integration in the course was supported by internal grant funding, which was disclosed to students and formed part of the instructional context. Although we were involved in AI-related initiatives, the study was not designed to promote AI use but to understand how students navigate AI within evolving educational conditions. We approached AI as cautious and critical users and encouraged students to openly share both positive and negative experiences.</w:t>
      </w:r>
    </w:p>
    <w:p w14:paraId="72305FF0" w14:textId="1D8E853F" w:rsidR="000A1A45" w:rsidRPr="000704FD" w:rsidRDefault="00DA15CA" w:rsidP="000704FD">
      <w:pPr>
        <w:spacing w:line="240" w:lineRule="auto"/>
        <w:ind w:firstLine="720"/>
        <w:rPr>
          <w:rFonts w:ascii="Times New Roman" w:hAnsi="Times New Roman" w:cs="Times New Roman"/>
        </w:rPr>
      </w:pPr>
      <w:r w:rsidRPr="000704FD">
        <w:rPr>
          <w:rFonts w:ascii="Times New Roman" w:hAnsi="Times New Roman" w:cs="Times New Roman"/>
        </w:rPr>
        <w:lastRenderedPageBreak/>
        <w:t xml:space="preserve">Reflexive </w:t>
      </w:r>
      <w:proofErr w:type="spellStart"/>
      <w:r w:rsidRPr="000704FD">
        <w:rPr>
          <w:rFonts w:ascii="Times New Roman" w:hAnsi="Times New Roman" w:cs="Times New Roman"/>
        </w:rPr>
        <w:t>memoing</w:t>
      </w:r>
      <w:proofErr w:type="spellEnd"/>
      <w:r w:rsidRPr="000704FD">
        <w:rPr>
          <w:rFonts w:ascii="Times New Roman" w:hAnsi="Times New Roman" w:cs="Times New Roman"/>
        </w:rPr>
        <w:t xml:space="preserve"> was used throughout the semester to document instructional intentions and evolving interpretations. Analysis preserved ambivalence, contradiction, and shifts in meaning, with interpretations revisited to remain responsive to students’ sensemaking. Trustworthiness was supported through prolonged engagement, iterative analysis, collaborative interpretation, and reflexive transparency. Interpretive credibility was grounded in coherence among claims, textual evidence, and context, alongside sustained longitudinal engagement with students’ reflections</w:t>
      </w:r>
      <w:r w:rsidR="00755C57" w:rsidRPr="000704FD">
        <w:rPr>
          <w:rFonts w:ascii="Times New Roman" w:hAnsi="Times New Roman" w:cs="Times New Roman"/>
        </w:rPr>
        <w:t xml:space="preserve"> </w:t>
      </w:r>
      <w:r w:rsidR="00D16AAA" w:rsidRPr="000704FD">
        <w:rPr>
          <w:rFonts w:ascii="Times New Roman" w:hAnsi="Times New Roman" w:cs="Times New Roman"/>
        </w:rPr>
        <w:fldChar w:fldCharType="begin"/>
      </w:r>
      <w:r w:rsidR="00F2722E" w:rsidRPr="000704FD">
        <w:rPr>
          <w:rFonts w:ascii="Times New Roman" w:hAnsi="Times New Roman" w:cs="Times New Roman"/>
        </w:rPr>
        <w:instrText xml:space="preserve"> ADDIN ZOTERO_ITEM CSL_CITATION {"citationID":"l9TPJPlf","properties":{"formattedCitation":"(Lincoln &amp; Guba, 1985)","plainCitation":"(Lincoln &amp; Guba, 1985)","noteIndex":0},"citationItems":[{"id":9372,"uris":["http://zotero.org/users/14842315/items/6H8B5A5Y"],"itemData":{"id":9372,"type":"book","publisher":"SAGE","publisher-place":"Thousand Oaks","title":"Naturalistic Inquiry","author":[{"family":"Lincoln","given":"Yvonna S"},{"family":"Guba","given":"Egon G."}],"issued":{"date-parts":[["1985"]]}}}],"schema":"https://github.com/citation-style-language/schema/raw/master/csl-citation.json"} </w:instrText>
      </w:r>
      <w:r w:rsidR="00D16AAA" w:rsidRPr="000704FD">
        <w:rPr>
          <w:rFonts w:ascii="Times New Roman" w:hAnsi="Times New Roman" w:cs="Times New Roman"/>
        </w:rPr>
        <w:fldChar w:fldCharType="separate"/>
      </w:r>
      <w:r w:rsidR="00D16AAA" w:rsidRPr="000704FD">
        <w:rPr>
          <w:rFonts w:ascii="Times New Roman" w:hAnsi="Times New Roman" w:cs="Times New Roman"/>
        </w:rPr>
        <w:t>(Lincoln &amp; Guba, 1985)</w:t>
      </w:r>
      <w:r w:rsidR="00D16AAA" w:rsidRPr="000704FD">
        <w:rPr>
          <w:rFonts w:ascii="Times New Roman" w:hAnsi="Times New Roman" w:cs="Times New Roman"/>
        </w:rPr>
        <w:fldChar w:fldCharType="end"/>
      </w:r>
      <w:r w:rsidR="001674A6" w:rsidRPr="000704FD">
        <w:rPr>
          <w:rFonts w:ascii="Times New Roman" w:hAnsi="Times New Roman" w:cs="Times New Roman"/>
        </w:rPr>
        <w:t>.</w:t>
      </w:r>
      <w:r w:rsidR="000704FD">
        <w:rPr>
          <w:rFonts w:ascii="Times New Roman" w:hAnsi="Times New Roman" w:cs="Times New Roman"/>
        </w:rPr>
        <w:t xml:space="preserve"> </w:t>
      </w:r>
      <w:r w:rsidRPr="000704FD">
        <w:rPr>
          <w:rFonts w:ascii="Times New Roman" w:hAnsi="Times New Roman" w:cs="Times New Roman"/>
        </w:rPr>
        <w:t>This study is situated within a single graduate-level research methods course and reflects the instructional</w:t>
      </w:r>
      <w:r w:rsidR="000704FD">
        <w:rPr>
          <w:rFonts w:ascii="Times New Roman" w:hAnsi="Times New Roman" w:cs="Times New Roman"/>
        </w:rPr>
        <w:t xml:space="preserve"> and institutional</w:t>
      </w:r>
      <w:r w:rsidRPr="000704FD">
        <w:rPr>
          <w:rFonts w:ascii="Times New Roman" w:hAnsi="Times New Roman" w:cs="Times New Roman"/>
        </w:rPr>
        <w:t xml:space="preserve"> conditions in which it occurred. AI tools and institutional guidance were evolving during the study period, shaping both instructional design and students’ interpretations. Findings are intended to be transferable through reader judgment rather than generalized and should be understood in relation to this context</w:t>
      </w:r>
      <w:r w:rsidR="000704FD">
        <w:rPr>
          <w:rFonts w:ascii="Times New Roman" w:hAnsi="Times New Roman" w:cs="Times New Roman"/>
        </w:rPr>
        <w:t xml:space="preserve"> researcher positioning. </w:t>
      </w:r>
    </w:p>
    <w:p w14:paraId="65534FEB" w14:textId="0D8DA721" w:rsidR="00993899" w:rsidRPr="000704FD" w:rsidRDefault="00993899" w:rsidP="000704FD">
      <w:pPr>
        <w:spacing w:line="240" w:lineRule="auto"/>
        <w:jc w:val="center"/>
        <w:rPr>
          <w:rFonts w:ascii="Times New Roman" w:hAnsi="Times New Roman" w:cs="Times New Roman"/>
          <w:b/>
          <w:bCs/>
        </w:rPr>
      </w:pPr>
      <w:r w:rsidRPr="000704FD">
        <w:rPr>
          <w:rFonts w:ascii="Times New Roman" w:hAnsi="Times New Roman" w:cs="Times New Roman"/>
          <w:b/>
          <w:bCs/>
        </w:rPr>
        <w:t xml:space="preserve">Findings </w:t>
      </w:r>
    </w:p>
    <w:p w14:paraId="20540BB4" w14:textId="3649063F" w:rsidR="00993899" w:rsidRPr="000704FD" w:rsidRDefault="00993899" w:rsidP="000704FD">
      <w:pPr>
        <w:spacing w:line="240" w:lineRule="auto"/>
        <w:rPr>
          <w:rFonts w:ascii="Times New Roman" w:hAnsi="Times New Roman" w:cs="Times New Roman"/>
          <w:b/>
        </w:rPr>
      </w:pPr>
      <w:r w:rsidRPr="000704FD">
        <w:rPr>
          <w:rFonts w:ascii="Times New Roman" w:hAnsi="Times New Roman" w:cs="Times New Roman"/>
          <w:b/>
          <w:bCs/>
        </w:rPr>
        <w:t xml:space="preserve">Theme 1: AI as a Safe Space and “Companion” for Learning </w:t>
      </w:r>
    </w:p>
    <w:p w14:paraId="0168DC3C" w14:textId="0D897331" w:rsidR="00993899" w:rsidRPr="000704FD" w:rsidRDefault="00993899" w:rsidP="000704FD">
      <w:pPr>
        <w:spacing w:line="240" w:lineRule="auto"/>
        <w:rPr>
          <w:rFonts w:ascii="Times New Roman" w:hAnsi="Times New Roman" w:cs="Times New Roman"/>
        </w:rPr>
      </w:pPr>
      <w:r w:rsidRPr="000704FD">
        <w:rPr>
          <w:rFonts w:ascii="Times New Roman" w:hAnsi="Times New Roman" w:cs="Times New Roman"/>
        </w:rPr>
        <w:tab/>
      </w:r>
      <w:r w:rsidR="001C0538" w:rsidRPr="000704FD">
        <w:rPr>
          <w:rFonts w:ascii="Times New Roman" w:hAnsi="Times New Roman" w:cs="Times New Roman"/>
        </w:rPr>
        <w:t>S</w:t>
      </w:r>
      <w:r w:rsidRPr="000704FD">
        <w:rPr>
          <w:rFonts w:ascii="Times New Roman" w:hAnsi="Times New Roman" w:cs="Times New Roman"/>
        </w:rPr>
        <w:t xml:space="preserve">tudents </w:t>
      </w:r>
      <w:r w:rsidR="006C63C8" w:rsidRPr="000704FD">
        <w:rPr>
          <w:rFonts w:ascii="Times New Roman" w:hAnsi="Times New Roman" w:cs="Times New Roman"/>
        </w:rPr>
        <w:t xml:space="preserve">consistently described </w:t>
      </w:r>
      <w:r w:rsidRPr="000704FD">
        <w:rPr>
          <w:rFonts w:ascii="Times New Roman" w:hAnsi="Times New Roman" w:cs="Times New Roman"/>
        </w:rPr>
        <w:t xml:space="preserve">that engaging with </w:t>
      </w:r>
      <w:r w:rsidR="00775E1C" w:rsidRPr="000704FD">
        <w:rPr>
          <w:rFonts w:ascii="Times New Roman" w:hAnsi="Times New Roman" w:cs="Times New Roman"/>
        </w:rPr>
        <w:t>an</w:t>
      </w:r>
      <w:r w:rsidRPr="000704FD">
        <w:rPr>
          <w:rFonts w:ascii="Times New Roman" w:hAnsi="Times New Roman" w:cs="Times New Roman"/>
        </w:rPr>
        <w:t xml:space="preserve"> AI model </w:t>
      </w:r>
      <w:r w:rsidR="00775E1C" w:rsidRPr="000704FD">
        <w:rPr>
          <w:rFonts w:ascii="Times New Roman" w:hAnsi="Times New Roman" w:cs="Times New Roman"/>
        </w:rPr>
        <w:t>fostered</w:t>
      </w:r>
      <w:r w:rsidRPr="000704FD">
        <w:rPr>
          <w:rFonts w:ascii="Times New Roman" w:hAnsi="Times New Roman" w:cs="Times New Roman"/>
        </w:rPr>
        <w:t xml:space="preserve"> a safe learning space to explore research methods and design. </w:t>
      </w:r>
      <w:r w:rsidR="006C63C8" w:rsidRPr="000704FD">
        <w:rPr>
          <w:rFonts w:ascii="Times New Roman" w:hAnsi="Times New Roman" w:cs="Times New Roman"/>
        </w:rPr>
        <w:t>Students also frequently referred to the AI as a “companion” or “study partner” when engaging new topics</w:t>
      </w:r>
      <w:r w:rsidRPr="000704FD">
        <w:rPr>
          <w:rFonts w:ascii="Times New Roman" w:hAnsi="Times New Roman" w:cs="Times New Roman"/>
        </w:rPr>
        <w:t xml:space="preserve">. Theme one is supported by four subthemes: 1) low-risk exploration of knowledge gaps, 2) safety from judgement and intimidation, 3) emotional regulation during learning, and 4) motivation through immediacy and responsiveness. </w:t>
      </w:r>
    </w:p>
    <w:p w14:paraId="54D9CE46" w14:textId="125B793D" w:rsidR="00993899" w:rsidRPr="000704FD" w:rsidRDefault="00993899" w:rsidP="000704FD">
      <w:pPr>
        <w:spacing w:line="240" w:lineRule="auto"/>
        <w:rPr>
          <w:rFonts w:ascii="Times New Roman" w:hAnsi="Times New Roman" w:cs="Times New Roman"/>
          <w:b/>
          <w:i/>
        </w:rPr>
      </w:pPr>
      <w:r w:rsidRPr="000704FD">
        <w:rPr>
          <w:rFonts w:ascii="Times New Roman" w:hAnsi="Times New Roman" w:cs="Times New Roman"/>
          <w:b/>
          <w:bCs/>
          <w:i/>
          <w:iCs/>
        </w:rPr>
        <w:t>Subtheme 1: Low-Risk Exploration of Knowledge Gaps</w:t>
      </w:r>
    </w:p>
    <w:p w14:paraId="42CB3207" w14:textId="2D57D0EA" w:rsidR="00993899" w:rsidRPr="000704FD" w:rsidRDefault="002B6193" w:rsidP="000704FD">
      <w:pPr>
        <w:spacing w:line="240" w:lineRule="auto"/>
        <w:ind w:firstLine="720"/>
        <w:rPr>
          <w:rFonts w:ascii="Times New Roman" w:hAnsi="Times New Roman" w:cs="Times New Roman"/>
        </w:rPr>
      </w:pPr>
      <w:r w:rsidRPr="000704FD">
        <w:rPr>
          <w:rFonts w:ascii="Times New Roman" w:hAnsi="Times New Roman" w:cs="Times New Roman"/>
        </w:rPr>
        <w:t xml:space="preserve">Students described greater openness and vulnerability when engaging with AI </w:t>
      </w:r>
      <w:proofErr w:type="gramStart"/>
      <w:r w:rsidRPr="000704FD">
        <w:rPr>
          <w:rFonts w:ascii="Times New Roman" w:hAnsi="Times New Roman" w:cs="Times New Roman"/>
        </w:rPr>
        <w:t>than</w:t>
      </w:r>
      <w:proofErr w:type="gramEnd"/>
      <w:r w:rsidRPr="000704FD">
        <w:rPr>
          <w:rFonts w:ascii="Times New Roman" w:hAnsi="Times New Roman" w:cs="Times New Roman"/>
        </w:rPr>
        <w:t xml:space="preserve"> they typically experienced in traditional classroom settings. Across reflections and AI logs, they identified knowledge gaps, misconceptions, and application difficulties directly to the AI and in writing to the course instructor. Christine reflected, “I learned that I have a hard time understanding the math behind sampling,” while Payton noted, “…and I realized that I could have some gaps in my thinking about which variables may be present.” Students also described gaps in their understanding of AI itself, with several early reflections noting surprise that AI could produce inaccurate responses or hallucinations</w:t>
      </w:r>
      <w:r w:rsidR="00993899" w:rsidRPr="000704FD">
        <w:rPr>
          <w:rFonts w:ascii="Times New Roman" w:hAnsi="Times New Roman" w:cs="Times New Roman"/>
        </w:rPr>
        <w:t xml:space="preserve">. </w:t>
      </w:r>
    </w:p>
    <w:p w14:paraId="3ACE37F9" w14:textId="4EB0968E" w:rsidR="006F2162" w:rsidRPr="000704FD" w:rsidRDefault="002B6193" w:rsidP="000704FD">
      <w:pPr>
        <w:spacing w:line="240" w:lineRule="auto"/>
        <w:ind w:firstLine="720"/>
        <w:rPr>
          <w:rFonts w:ascii="Times New Roman" w:hAnsi="Times New Roman" w:cs="Times New Roman"/>
        </w:rPr>
      </w:pPr>
      <w:r w:rsidRPr="000704FD">
        <w:rPr>
          <w:rFonts w:ascii="Times New Roman" w:hAnsi="Times New Roman" w:cs="Times New Roman"/>
        </w:rPr>
        <w:t>Once gaps were identified, students described increased motivation to explore content deliberately through AI. This often involved refining prompts and experimenting with strategies to support understanding. Reflecting on her approach, Payton explained, “One part of my approach to using AI for this activity that I think might be important is listing the specific things I wanted it to explain for me. For instance, when I asked it to describe the worldviews, I listed each one out in my prompt”</w:t>
      </w:r>
      <w:r w:rsidR="006F2162" w:rsidRPr="000704FD">
        <w:rPr>
          <w:rFonts w:ascii="Times New Roman" w:hAnsi="Times New Roman" w:cs="Times New Roman"/>
        </w:rPr>
        <w:t>.</w:t>
      </w:r>
    </w:p>
    <w:p w14:paraId="264F6EE5" w14:textId="5658721D" w:rsidR="006F2162" w:rsidRPr="000704FD" w:rsidRDefault="00C82333" w:rsidP="000704FD">
      <w:pPr>
        <w:spacing w:line="240" w:lineRule="auto"/>
        <w:ind w:firstLine="720"/>
        <w:rPr>
          <w:rFonts w:ascii="Times New Roman" w:eastAsia="Times New Roman" w:hAnsi="Times New Roman" w:cs="Times New Roman"/>
          <w:color w:val="212325"/>
          <w:kern w:val="0"/>
          <w14:ligatures w14:val="none"/>
        </w:rPr>
      </w:pPr>
      <w:r w:rsidRPr="000704FD">
        <w:rPr>
          <w:rFonts w:ascii="Times New Roman" w:eastAsia="Times New Roman" w:hAnsi="Times New Roman" w:cs="Times New Roman"/>
          <w:color w:val="212325"/>
          <w:kern w:val="0"/>
          <w14:ligatures w14:val="none"/>
        </w:rPr>
        <w:t>Students frequently attributed their willingness to engage in this way to instructor modeling during class activities</w:t>
      </w:r>
      <w:r w:rsidR="002B6193" w:rsidRPr="000704FD">
        <w:rPr>
          <w:rFonts w:ascii="Times New Roman" w:eastAsia="Times New Roman" w:hAnsi="Times New Roman" w:cs="Times New Roman"/>
          <w:color w:val="212325"/>
          <w:kern w:val="0"/>
          <w14:ligatures w14:val="none"/>
        </w:rPr>
        <w:t xml:space="preserve">. During an in-class demonstration, the instructor prompted the AI to explain a concept “as if I were five years old,” explicitly noting personal difficulty with the material. Following this, multiple students </w:t>
      </w:r>
      <w:proofErr w:type="gramStart"/>
      <w:r w:rsidR="002B6193" w:rsidRPr="000704FD">
        <w:rPr>
          <w:rFonts w:ascii="Times New Roman" w:eastAsia="Times New Roman" w:hAnsi="Times New Roman" w:cs="Times New Roman"/>
          <w:color w:val="212325"/>
          <w:kern w:val="0"/>
          <w14:ligatures w14:val="none"/>
        </w:rPr>
        <w:t>referenced</w:t>
      </w:r>
      <w:proofErr w:type="gramEnd"/>
      <w:r w:rsidR="002B6193" w:rsidRPr="000704FD">
        <w:rPr>
          <w:rFonts w:ascii="Times New Roman" w:eastAsia="Times New Roman" w:hAnsi="Times New Roman" w:cs="Times New Roman"/>
          <w:color w:val="212325"/>
          <w:kern w:val="0"/>
          <w14:ligatures w14:val="none"/>
        </w:rPr>
        <w:t xml:space="preserve"> adopting the same strategy. Ally reflected, “I started by approaching the material as if I were a five-year-old learning it for the first time because, honestly, that’s how it felt.” After establishing foundational understanding, students often layered additional strategies to scaffold learning. Ally continued, “Then I asked the AI to </w:t>
      </w:r>
      <w:r w:rsidR="002B6193" w:rsidRPr="000704FD">
        <w:rPr>
          <w:rFonts w:ascii="Times New Roman" w:eastAsia="Times New Roman" w:hAnsi="Times New Roman" w:cs="Times New Roman"/>
          <w:color w:val="212325"/>
          <w:kern w:val="0"/>
          <w14:ligatures w14:val="none"/>
        </w:rPr>
        <w:lastRenderedPageBreak/>
        <w:t>create comparison charts that broke down how each [qualitative] research method differs, when to use it, and what common mistakes to avoid”</w:t>
      </w:r>
      <w:r w:rsidR="006F2162" w:rsidRPr="000704FD">
        <w:rPr>
          <w:rFonts w:ascii="Times New Roman" w:eastAsia="Times New Roman" w:hAnsi="Times New Roman" w:cs="Times New Roman"/>
          <w:color w:val="212325"/>
          <w:kern w:val="0"/>
          <w14:ligatures w14:val="none"/>
        </w:rPr>
        <w:t>.</w:t>
      </w:r>
    </w:p>
    <w:p w14:paraId="33F31FC5" w14:textId="1DA86494" w:rsidR="00993899" w:rsidRPr="000704FD" w:rsidRDefault="002B6193" w:rsidP="000704FD">
      <w:pPr>
        <w:spacing w:line="240" w:lineRule="auto"/>
        <w:ind w:firstLine="720"/>
        <w:rPr>
          <w:rFonts w:ascii="Times New Roman" w:hAnsi="Times New Roman" w:cs="Times New Roman"/>
        </w:rPr>
      </w:pPr>
      <w:r w:rsidRPr="000704FD">
        <w:rPr>
          <w:rFonts w:ascii="Times New Roman" w:hAnsi="Times New Roman" w:cs="Times New Roman"/>
        </w:rPr>
        <w:t>At the same time, students described hesitation when knowledge gaps exceeded their ability to evaluate AI outputs. Mike reflected, “Not having a full understanding of the math behind sample and population sizes had me feeling like A.I. was giving me some traction, but I did not know enough about it to question or tune it.” These moments prompted reflection on when AI use felt appropriate for addressing gaps in understanding and when additional instruction or guidance was needed</w:t>
      </w:r>
      <w:r w:rsidR="00993899" w:rsidRPr="000704FD">
        <w:rPr>
          <w:rFonts w:ascii="Times New Roman" w:hAnsi="Times New Roman" w:cs="Times New Roman"/>
        </w:rPr>
        <w:t xml:space="preserve">.          </w:t>
      </w:r>
    </w:p>
    <w:p w14:paraId="2B478E21" w14:textId="07F91476" w:rsidR="00993899" w:rsidRPr="000704FD" w:rsidRDefault="00993899" w:rsidP="000704FD">
      <w:pPr>
        <w:spacing w:line="240" w:lineRule="auto"/>
        <w:rPr>
          <w:rFonts w:ascii="Times New Roman" w:hAnsi="Times New Roman" w:cs="Times New Roman"/>
          <w:b/>
          <w:i/>
        </w:rPr>
      </w:pPr>
      <w:r w:rsidRPr="000704FD">
        <w:rPr>
          <w:rFonts w:ascii="Times New Roman" w:hAnsi="Times New Roman" w:cs="Times New Roman"/>
          <w:b/>
          <w:bCs/>
          <w:i/>
          <w:iCs/>
        </w:rPr>
        <w:t xml:space="preserve">Subtheme 2: Safety from Judgement and Intimidation  </w:t>
      </w:r>
    </w:p>
    <w:p w14:paraId="73244F3E" w14:textId="202669FF" w:rsidR="00993899" w:rsidRPr="000704FD" w:rsidRDefault="00993899" w:rsidP="000704FD">
      <w:pPr>
        <w:spacing w:line="240" w:lineRule="auto"/>
        <w:rPr>
          <w:rFonts w:ascii="Times New Roman" w:hAnsi="Times New Roman" w:cs="Times New Roman"/>
        </w:rPr>
      </w:pPr>
      <w:r w:rsidRPr="000704FD">
        <w:rPr>
          <w:rFonts w:ascii="Times New Roman" w:hAnsi="Times New Roman" w:cs="Times New Roman"/>
        </w:rPr>
        <w:tab/>
      </w:r>
      <w:r w:rsidR="002B6193" w:rsidRPr="000704FD">
        <w:rPr>
          <w:rFonts w:ascii="Times New Roman" w:hAnsi="Times New Roman" w:cs="Times New Roman"/>
        </w:rPr>
        <w:t xml:space="preserve">Students described AI as a safe </w:t>
      </w:r>
      <w:proofErr w:type="gramStart"/>
      <w:r w:rsidR="002B6193" w:rsidRPr="000704FD">
        <w:rPr>
          <w:rFonts w:ascii="Times New Roman" w:hAnsi="Times New Roman" w:cs="Times New Roman"/>
        </w:rPr>
        <w:t>sounding</w:t>
      </w:r>
      <w:proofErr w:type="gramEnd"/>
      <w:r w:rsidR="002B6193" w:rsidRPr="000704FD">
        <w:rPr>
          <w:rFonts w:ascii="Times New Roman" w:hAnsi="Times New Roman" w:cs="Times New Roman"/>
        </w:rPr>
        <w:t xml:space="preserve"> board that allowed them to ask questions </w:t>
      </w:r>
      <w:r w:rsidR="00B45576" w:rsidRPr="000704FD">
        <w:rPr>
          <w:rFonts w:ascii="Times New Roman" w:hAnsi="Times New Roman" w:cs="Times New Roman"/>
        </w:rPr>
        <w:t xml:space="preserve">that </w:t>
      </w:r>
      <w:r w:rsidR="002B6193" w:rsidRPr="000704FD">
        <w:rPr>
          <w:rFonts w:ascii="Times New Roman" w:hAnsi="Times New Roman" w:cs="Times New Roman"/>
        </w:rPr>
        <w:t>they perceived as embarrassing or inappropriate to voice aloud in front of peers or instructors. As Mike explained, “Even with mentors, professors, and other peers it can be a little embarrassing to ask questions that might seem low level, but asking A.I. these (seemingly) embarrassing questions removes some of that judgement I am prone to feel.” In this sense, AI reduced perceived social risk during learning. Students also described how AI responses supported engagement by providing accessible explanations that helped them revisit foundational concepts they felt they had previously missed. Paul reflected on this experience in relation to statistics</w:t>
      </w:r>
      <w:r w:rsidRPr="000704FD">
        <w:rPr>
          <w:rFonts w:ascii="Times New Roman" w:hAnsi="Times New Roman" w:cs="Times New Roman"/>
        </w:rPr>
        <w:t xml:space="preserve">:  </w:t>
      </w:r>
    </w:p>
    <w:p w14:paraId="5300F3C2" w14:textId="483E7015" w:rsidR="00993899" w:rsidRPr="000704FD" w:rsidRDefault="00993899" w:rsidP="000704FD">
      <w:pPr>
        <w:spacing w:line="240" w:lineRule="auto"/>
        <w:ind w:firstLine="720"/>
        <w:rPr>
          <w:rFonts w:ascii="Times New Roman" w:hAnsi="Times New Roman" w:cs="Times New Roman"/>
        </w:rPr>
      </w:pPr>
      <w:r w:rsidRPr="000704FD">
        <w:rPr>
          <w:rFonts w:ascii="Times New Roman" w:hAnsi="Times New Roman" w:cs="Times New Roman"/>
        </w:rPr>
        <w:t xml:space="preserve">I have had statistics classes before, but I always felt like there were a lot of fundamental </w:t>
      </w:r>
      <w:r w:rsidRPr="000704FD">
        <w:rPr>
          <w:rFonts w:ascii="Times New Roman" w:hAnsi="Times New Roman" w:cs="Times New Roman"/>
        </w:rPr>
        <w:tab/>
        <w:t xml:space="preserve">building blocks of stats that I never really learned, so it is helpful to know that I can ask </w:t>
      </w:r>
      <w:r w:rsidRPr="000704FD">
        <w:rPr>
          <w:rFonts w:ascii="Times New Roman" w:hAnsi="Times New Roman" w:cs="Times New Roman"/>
        </w:rPr>
        <w:tab/>
        <w:t xml:space="preserve">AI about very basic concepts (and without the potential embarrassment of asking a </w:t>
      </w:r>
      <w:r w:rsidRPr="000704FD">
        <w:rPr>
          <w:rFonts w:ascii="Times New Roman" w:hAnsi="Times New Roman" w:cs="Times New Roman"/>
        </w:rPr>
        <w:tab/>
        <w:t xml:space="preserve">human) and get easy to understand explanations. </w:t>
      </w:r>
    </w:p>
    <w:p w14:paraId="03469A98" w14:textId="25504A4E" w:rsidR="006F2162" w:rsidRPr="000704FD" w:rsidRDefault="002B6193" w:rsidP="000704FD">
      <w:pPr>
        <w:spacing w:line="240" w:lineRule="auto"/>
        <w:ind w:firstLine="720"/>
        <w:rPr>
          <w:rFonts w:ascii="Times New Roman" w:hAnsi="Times New Roman" w:cs="Times New Roman"/>
        </w:rPr>
      </w:pPr>
      <w:r w:rsidRPr="000704FD">
        <w:rPr>
          <w:rFonts w:ascii="Times New Roman" w:hAnsi="Times New Roman" w:cs="Times New Roman"/>
        </w:rPr>
        <w:t>AI also provided a less intimidating entry point into complex or abstract topics. Sarah described how the model visually represented theoretical components of her study and then broke them into tangible elements, which supported more targeted prompting in subsequent interactions. Similarly, Payton described feeling “intimidated by the idea of exhausting the literature” and noted that “the AI made the literature review much more digestible by simply breaking down my topic into headers of focus for the literature review,” serving as a springboard for beginning the task. Paul echoed this experience, describing relief when AI explained research methods “in a very simple way,” helping to reduce stress around content he found difficult</w:t>
      </w:r>
      <w:r w:rsidR="006F2162" w:rsidRPr="000704FD">
        <w:rPr>
          <w:rFonts w:ascii="Times New Roman" w:hAnsi="Times New Roman" w:cs="Times New Roman"/>
        </w:rPr>
        <w:t>”</w:t>
      </w:r>
      <w:r w:rsidR="0006225C" w:rsidRPr="000704FD">
        <w:rPr>
          <w:rFonts w:ascii="Times New Roman" w:hAnsi="Times New Roman" w:cs="Times New Roman"/>
        </w:rPr>
        <w:t>.</w:t>
      </w:r>
    </w:p>
    <w:p w14:paraId="00E6AFA6" w14:textId="75A05E9B" w:rsidR="00993899" w:rsidRPr="000704FD" w:rsidRDefault="00993899" w:rsidP="000704FD">
      <w:pPr>
        <w:spacing w:line="240" w:lineRule="auto"/>
        <w:rPr>
          <w:rFonts w:ascii="Times New Roman" w:hAnsi="Times New Roman" w:cs="Times New Roman"/>
          <w:b/>
          <w:i/>
        </w:rPr>
      </w:pPr>
      <w:r w:rsidRPr="000704FD">
        <w:rPr>
          <w:rFonts w:ascii="Times New Roman" w:hAnsi="Times New Roman" w:cs="Times New Roman"/>
          <w:b/>
          <w:bCs/>
          <w:i/>
          <w:iCs/>
        </w:rPr>
        <w:t xml:space="preserve">Subtheme 3: Emotional Regulation During Learning </w:t>
      </w:r>
    </w:p>
    <w:p w14:paraId="4177D070" w14:textId="4AF41C69" w:rsidR="002B6193" w:rsidRPr="000704FD" w:rsidRDefault="00993899" w:rsidP="000704FD">
      <w:pPr>
        <w:spacing w:line="240" w:lineRule="auto"/>
        <w:rPr>
          <w:rFonts w:ascii="Times New Roman" w:hAnsi="Times New Roman" w:cs="Times New Roman"/>
        </w:rPr>
      </w:pPr>
      <w:r w:rsidRPr="000704FD">
        <w:rPr>
          <w:rFonts w:ascii="Times New Roman" w:hAnsi="Times New Roman" w:cs="Times New Roman"/>
        </w:rPr>
        <w:tab/>
      </w:r>
      <w:r w:rsidR="002B6193" w:rsidRPr="000704FD">
        <w:rPr>
          <w:rFonts w:ascii="Times New Roman" w:hAnsi="Times New Roman" w:cs="Times New Roman"/>
        </w:rPr>
        <w:t>Students described emotional regulation as a central feature of AI-supported learning. While perceptions of safety and support shaped early engagement, students also described frustration and emotional strain as part of their learning process, and many ended the semester with a cautious hopefulness regarding the continued use of AI within their graduate program. Reassurance and growing confidence shaped how they monitored understanding and evaluated progress. For some, reassurance emerged when AI outputs aligned with work they had already completed independently. Kendall described reassurance when AI-generated references overlapped with databases and articles she had already consulted, strengthening confidence in her research direction. Others experienced reassurance through critical comparison rather than confirmation. Hannah reflected, “In this sense, I think the most valuable part of analyzing AI’s response was my ability to recognize the many concepts, terms, and relevant theories that it failed to address.”</w:t>
      </w:r>
    </w:p>
    <w:p w14:paraId="5F4FCE6B" w14:textId="67736CA0" w:rsidR="006F2162" w:rsidRPr="000704FD" w:rsidRDefault="002B6193" w:rsidP="000704FD">
      <w:pPr>
        <w:spacing w:line="240" w:lineRule="auto"/>
        <w:ind w:firstLine="720"/>
        <w:rPr>
          <w:rFonts w:ascii="Times New Roman" w:hAnsi="Times New Roman" w:cs="Times New Roman"/>
        </w:rPr>
      </w:pPr>
      <w:r w:rsidRPr="000704FD">
        <w:rPr>
          <w:rFonts w:ascii="Times New Roman" w:hAnsi="Times New Roman" w:cs="Times New Roman"/>
        </w:rPr>
        <w:lastRenderedPageBreak/>
        <w:t>Christine described a similar process when generating practice quiz questions: “Even though the questions and answers may not be true all the time, it challenges my knowledge and allows me to recognize incorrect questions/answers.” In both cases, reassurance was tied to students’ ability to evaluate AI outputs against their own understanding</w:t>
      </w:r>
      <w:r w:rsidR="006F2162" w:rsidRPr="000704FD">
        <w:rPr>
          <w:rFonts w:ascii="Times New Roman" w:hAnsi="Times New Roman" w:cs="Times New Roman"/>
        </w:rPr>
        <w:t>.</w:t>
      </w:r>
    </w:p>
    <w:p w14:paraId="0B25EECB" w14:textId="05F83524" w:rsidR="00993899" w:rsidRPr="000704FD" w:rsidRDefault="002B6193" w:rsidP="000704FD">
      <w:pPr>
        <w:spacing w:line="240" w:lineRule="auto"/>
        <w:ind w:firstLine="720"/>
        <w:rPr>
          <w:rFonts w:ascii="Times New Roman" w:hAnsi="Times New Roman" w:cs="Times New Roman"/>
        </w:rPr>
      </w:pPr>
      <w:r w:rsidRPr="000704FD">
        <w:rPr>
          <w:rFonts w:ascii="Times New Roman" w:hAnsi="Times New Roman" w:cs="Times New Roman"/>
        </w:rPr>
        <w:t xml:space="preserve">Alongside these positive affective experiences, students also described frustration, irritation, and hesitation in response to AI inaccuracies or superficial responses. Hannah articulated this intensity: “This is not about my learning as much as my emotions, but I have found that the amount of pure disappointment and rage I can feel towards a robot is really shocking.” Most students, however, described </w:t>
      </w:r>
      <w:proofErr w:type="gramStart"/>
      <w:r w:rsidRPr="000704FD">
        <w:rPr>
          <w:rFonts w:ascii="Times New Roman" w:hAnsi="Times New Roman" w:cs="Times New Roman"/>
        </w:rPr>
        <w:t>less</w:t>
      </w:r>
      <w:proofErr w:type="gramEnd"/>
      <w:r w:rsidRPr="000704FD">
        <w:rPr>
          <w:rFonts w:ascii="Times New Roman" w:hAnsi="Times New Roman" w:cs="Times New Roman"/>
        </w:rPr>
        <w:t xml:space="preserve"> extreme responses characterized by cautious irritation or mistrust. Kendall captured this stance, noting that the model “cannot—despite common perceptions—do the thinking for me. It is an exciting aide, but with certain limitations </w:t>
      </w:r>
      <w:proofErr w:type="gramStart"/>
      <w:r w:rsidRPr="000704FD">
        <w:rPr>
          <w:rFonts w:ascii="Times New Roman" w:hAnsi="Times New Roman" w:cs="Times New Roman"/>
        </w:rPr>
        <w:t>and also</w:t>
      </w:r>
      <w:proofErr w:type="gramEnd"/>
      <w:r w:rsidRPr="000704FD">
        <w:rPr>
          <w:rFonts w:ascii="Times New Roman" w:hAnsi="Times New Roman" w:cs="Times New Roman"/>
        </w:rPr>
        <w:t xml:space="preserve"> is a source that cannot be </w:t>
      </w:r>
      <w:proofErr w:type="gramStart"/>
      <w:r w:rsidRPr="000704FD">
        <w:rPr>
          <w:rFonts w:ascii="Times New Roman" w:hAnsi="Times New Roman" w:cs="Times New Roman"/>
        </w:rPr>
        <w:t>trusted in its own right</w:t>
      </w:r>
      <w:proofErr w:type="gramEnd"/>
      <w:r w:rsidRPr="000704FD">
        <w:rPr>
          <w:rFonts w:ascii="Times New Roman" w:hAnsi="Times New Roman" w:cs="Times New Roman"/>
        </w:rPr>
        <w:t>.” When regulated, these emotional responses functioned as a critical lens that prompted careful prompting, verification, and boundary-setting:</w:t>
      </w:r>
      <w:r w:rsidR="00993899" w:rsidRPr="000704FD">
        <w:rPr>
          <w:rFonts w:ascii="Times New Roman" w:hAnsi="Times New Roman" w:cs="Times New Roman"/>
        </w:rPr>
        <w:t xml:space="preserve">   </w:t>
      </w:r>
    </w:p>
    <w:p w14:paraId="36DE2A87" w14:textId="2F920BBD" w:rsidR="00993899" w:rsidRPr="000704FD" w:rsidRDefault="00993899" w:rsidP="000704FD">
      <w:pPr>
        <w:spacing w:line="240" w:lineRule="auto"/>
        <w:ind w:left="720"/>
        <w:rPr>
          <w:rFonts w:ascii="Times New Roman" w:hAnsi="Times New Roman" w:cs="Times New Roman"/>
        </w:rPr>
      </w:pPr>
      <w:r w:rsidRPr="000704FD">
        <w:rPr>
          <w:rFonts w:ascii="Times New Roman" w:hAnsi="Times New Roman" w:cs="Times New Roman"/>
        </w:rPr>
        <w:t>I was very skeptical of AI in this activity. Hearing about AI making up papers and citations made me think this was not going to be very helpful. Because of this, I was particular in my initial prompts about what my research interest was and what I was</w:t>
      </w:r>
      <w:r w:rsidR="72A8D25B" w:rsidRPr="000704FD">
        <w:rPr>
          <w:rFonts w:ascii="Times New Roman" w:hAnsi="Times New Roman" w:cs="Times New Roman"/>
        </w:rPr>
        <w:t xml:space="preserve"> </w:t>
      </w:r>
      <w:r w:rsidRPr="000704FD">
        <w:rPr>
          <w:rFonts w:ascii="Times New Roman" w:hAnsi="Times New Roman" w:cs="Times New Roman"/>
        </w:rPr>
        <w:t>looking for. Next, I tried to make sure the papers were real by directly asking the AI chat, which confirmed their validity, and then checking on my own. I also attempted t</w:t>
      </w:r>
      <w:r w:rsidR="60C6B957" w:rsidRPr="000704FD">
        <w:rPr>
          <w:rFonts w:ascii="Times New Roman" w:hAnsi="Times New Roman" w:cs="Times New Roman"/>
        </w:rPr>
        <w:t xml:space="preserve">o </w:t>
      </w:r>
      <w:r w:rsidRPr="000704FD">
        <w:rPr>
          <w:rFonts w:ascii="Times New Roman" w:hAnsi="Times New Roman" w:cs="Times New Roman"/>
        </w:rPr>
        <w:t>challenge the AI on some papers that seemed out of scope for my project or any biases</w:t>
      </w:r>
      <w:r w:rsidR="2D190E6F" w:rsidRPr="000704FD">
        <w:rPr>
          <w:rFonts w:ascii="Times New Roman" w:hAnsi="Times New Roman" w:cs="Times New Roman"/>
        </w:rPr>
        <w:t xml:space="preserve"> </w:t>
      </w:r>
      <w:r w:rsidRPr="000704FD">
        <w:rPr>
          <w:rFonts w:ascii="Times New Roman" w:hAnsi="Times New Roman" w:cs="Times New Roman"/>
        </w:rPr>
        <w:t>the AI had.</w:t>
      </w:r>
    </w:p>
    <w:p w14:paraId="4BF58C4B" w14:textId="2EB61EC4" w:rsidR="00993899" w:rsidRPr="000704FD" w:rsidRDefault="006F2162" w:rsidP="000704FD">
      <w:pPr>
        <w:spacing w:line="240" w:lineRule="auto"/>
        <w:rPr>
          <w:rFonts w:ascii="Times New Roman" w:hAnsi="Times New Roman" w:cs="Times New Roman"/>
        </w:rPr>
      </w:pPr>
      <w:r w:rsidRPr="000704FD">
        <w:rPr>
          <w:rFonts w:ascii="Times New Roman" w:hAnsi="Times New Roman" w:cs="Times New Roman"/>
        </w:rPr>
        <w:t>Across accounts, emotional responses were not distractions from learning but mechanisms through which students monitored risk, assessed credibility, and regulated engagement. The cautious “curious mistrust” students described ultimately supported deeper critical engagement. Students consistently noted that this stance prompted them to question AI outputs, verify sources, and refine prompts, contributing to more active and reflective learning processes</w:t>
      </w:r>
      <w:r w:rsidR="00993899" w:rsidRPr="000704FD">
        <w:rPr>
          <w:rFonts w:ascii="Times New Roman" w:hAnsi="Times New Roman" w:cs="Times New Roman"/>
        </w:rPr>
        <w:t xml:space="preserve">.          </w:t>
      </w:r>
    </w:p>
    <w:p w14:paraId="68558E29" w14:textId="78F45A93" w:rsidR="00993899" w:rsidRPr="000704FD" w:rsidRDefault="00993899" w:rsidP="000704FD">
      <w:pPr>
        <w:spacing w:line="240" w:lineRule="auto"/>
        <w:rPr>
          <w:rFonts w:ascii="Times New Roman" w:hAnsi="Times New Roman" w:cs="Times New Roman"/>
          <w:b/>
          <w:i/>
        </w:rPr>
      </w:pPr>
      <w:r w:rsidRPr="000704FD">
        <w:rPr>
          <w:rFonts w:ascii="Times New Roman" w:hAnsi="Times New Roman" w:cs="Times New Roman"/>
          <w:b/>
          <w:bCs/>
          <w:i/>
          <w:iCs/>
        </w:rPr>
        <w:t xml:space="preserve">Subtheme 4: Motivation Through Immediacy and Responsiveness </w:t>
      </w:r>
    </w:p>
    <w:p w14:paraId="353BA020" w14:textId="77777777" w:rsidR="00993899" w:rsidRPr="000704FD" w:rsidRDefault="00993899" w:rsidP="000704FD">
      <w:pPr>
        <w:spacing w:line="240" w:lineRule="auto"/>
        <w:rPr>
          <w:rFonts w:ascii="Times New Roman" w:hAnsi="Times New Roman" w:cs="Times New Roman"/>
        </w:rPr>
      </w:pPr>
      <w:r w:rsidRPr="000704FD">
        <w:rPr>
          <w:rFonts w:ascii="Times New Roman" w:hAnsi="Times New Roman" w:cs="Times New Roman"/>
        </w:rPr>
        <w:tab/>
        <w:t xml:space="preserve">Students expressed their appreciation for the immediacy and efficiency the AI models brought to their learning. Payton stated, “I learned today just how quickly AI can assist my learning, as I was amazed at how efficient it was at creating effective search terms for my topic”. Further, many students acknowledged that along with being efficient, the model often would present comparisons and syntheses of the information requested, as Kendall stated, “I doubt that would have located these theories, and certainly not with this level of speed and ability to cross-compare, without our AI lesson”. The immediate responses within the AI activities also helped the students feel motivated by potentially reducing their expected time on task, “I learned that I appreciate the small chunks and conciseness it offers. I appreciate its efficiency, so using it to synthesize the article content helps me determine which ones to invest in” (Mike).     </w:t>
      </w:r>
    </w:p>
    <w:p w14:paraId="3C7DFFDD" w14:textId="24B49029" w:rsidR="00993899" w:rsidRPr="000704FD" w:rsidRDefault="00993899" w:rsidP="000704FD">
      <w:pPr>
        <w:spacing w:line="240" w:lineRule="auto"/>
        <w:rPr>
          <w:rFonts w:ascii="Times New Roman" w:hAnsi="Times New Roman" w:cs="Times New Roman"/>
        </w:rPr>
      </w:pPr>
      <w:r w:rsidRPr="000704FD">
        <w:rPr>
          <w:rFonts w:ascii="Times New Roman" w:hAnsi="Times New Roman" w:cs="Times New Roman"/>
        </w:rPr>
        <w:tab/>
        <w:t xml:space="preserve">Beyond immediacy, the students valued the conversational, almost social approach prompting the AI model </w:t>
      </w:r>
      <w:proofErr w:type="gramStart"/>
      <w:r w:rsidRPr="000704FD">
        <w:rPr>
          <w:rFonts w:ascii="Times New Roman" w:hAnsi="Times New Roman" w:cs="Times New Roman"/>
        </w:rPr>
        <w:t>brings</w:t>
      </w:r>
      <w:proofErr w:type="gramEnd"/>
      <w:r w:rsidRPr="000704FD">
        <w:rPr>
          <w:rFonts w:ascii="Times New Roman" w:hAnsi="Times New Roman" w:cs="Times New Roman"/>
        </w:rPr>
        <w:t xml:space="preserve"> to learning. Mike referenced the AI model as “like having a private tutor who I can question easily and gain automatic insight to better understand each of the variables”. Whereas Kendall described how she was, “…positively surprised by how ‘collaborating’ or bouncing ideas back and forth with AI can enhance my learning”. Additionally, many students discussed how the iterative and interactive exchanges with the AI model to be </w:t>
      </w:r>
      <w:r w:rsidRPr="000704FD">
        <w:rPr>
          <w:rFonts w:ascii="Times New Roman" w:hAnsi="Times New Roman" w:cs="Times New Roman"/>
        </w:rPr>
        <w:lastRenderedPageBreak/>
        <w:t xml:space="preserve">motivating and beneficial to learning course content and completing course assignments. Regarding the AI activities Ally said, “[They are] both engaging and effective in helping me understand what we covered in class. I noticed that I learn best when the process feels interactive and fun, which keeps me more focused and motivated”. Overall, students appreciated and were motivated to further engage with the model and course content due to the immediacy and responsiveness of AI.  </w:t>
      </w:r>
    </w:p>
    <w:p w14:paraId="0988E9D1" w14:textId="1F3739E4" w:rsidR="00730A74" w:rsidRPr="000704FD" w:rsidRDefault="00993899" w:rsidP="000704FD">
      <w:pPr>
        <w:spacing w:line="240" w:lineRule="auto"/>
        <w:rPr>
          <w:rFonts w:ascii="Times New Roman" w:hAnsi="Times New Roman" w:cs="Times New Roman"/>
          <w:b/>
          <w:bCs/>
        </w:rPr>
      </w:pPr>
      <w:r w:rsidRPr="000704FD">
        <w:rPr>
          <w:rFonts w:ascii="Times New Roman" w:hAnsi="Times New Roman" w:cs="Times New Roman"/>
          <w:b/>
          <w:bCs/>
        </w:rPr>
        <w:t xml:space="preserve">Theme 2: </w:t>
      </w:r>
      <w:r w:rsidR="003B0C66" w:rsidRPr="000704FD">
        <w:rPr>
          <w:rFonts w:ascii="Times New Roman" w:hAnsi="Times New Roman" w:cs="Times New Roman"/>
          <w:b/>
          <w:bCs/>
        </w:rPr>
        <w:t xml:space="preserve">Intentionality </w:t>
      </w:r>
      <w:r w:rsidR="002C2573" w:rsidRPr="000704FD">
        <w:rPr>
          <w:rFonts w:ascii="Times New Roman" w:hAnsi="Times New Roman" w:cs="Times New Roman"/>
          <w:b/>
          <w:bCs/>
        </w:rPr>
        <w:t xml:space="preserve">of </w:t>
      </w:r>
      <w:r w:rsidRPr="000704FD">
        <w:rPr>
          <w:rFonts w:ascii="Times New Roman" w:hAnsi="Times New Roman" w:cs="Times New Roman"/>
          <w:b/>
          <w:bCs/>
        </w:rPr>
        <w:t xml:space="preserve">Culture and Modeling </w:t>
      </w:r>
      <w:r w:rsidR="00211559" w:rsidRPr="000704FD">
        <w:rPr>
          <w:rFonts w:ascii="Times New Roman" w:hAnsi="Times New Roman" w:cs="Times New Roman"/>
          <w:b/>
          <w:bCs/>
        </w:rPr>
        <w:t xml:space="preserve">for AI Use </w:t>
      </w:r>
      <w:r w:rsidRPr="000704FD">
        <w:rPr>
          <w:rFonts w:ascii="Times New Roman" w:hAnsi="Times New Roman" w:cs="Times New Roman"/>
          <w:b/>
          <w:bCs/>
        </w:rPr>
        <w:t xml:space="preserve"> </w:t>
      </w:r>
    </w:p>
    <w:p w14:paraId="373E70D5" w14:textId="30C55D68" w:rsidR="00993899" w:rsidRPr="000704FD" w:rsidRDefault="00B533CE" w:rsidP="000704FD">
      <w:pPr>
        <w:spacing w:line="240" w:lineRule="auto"/>
        <w:ind w:firstLine="720"/>
        <w:rPr>
          <w:rFonts w:ascii="Times New Roman" w:hAnsi="Times New Roman" w:cs="Times New Roman"/>
        </w:rPr>
      </w:pPr>
      <w:r w:rsidRPr="000704FD">
        <w:rPr>
          <w:rFonts w:ascii="Times New Roman" w:hAnsi="Times New Roman" w:cs="Times New Roman"/>
        </w:rPr>
        <w:t>Students described the course environment as intentionally structured to support and encourage engagement with AI</w:t>
      </w:r>
      <w:r w:rsidR="002D18F3" w:rsidRPr="000704FD">
        <w:rPr>
          <w:rFonts w:ascii="Times New Roman" w:hAnsi="Times New Roman" w:cs="Times New Roman"/>
        </w:rPr>
        <w:t xml:space="preserve"> </w:t>
      </w:r>
      <w:r w:rsidR="00993899" w:rsidRPr="000704FD">
        <w:rPr>
          <w:rFonts w:ascii="Times New Roman" w:hAnsi="Times New Roman" w:cs="Times New Roman"/>
        </w:rPr>
        <w:t xml:space="preserve">models related to a variety of research methods and design. Theme two is supported by two subthemes: 1) </w:t>
      </w:r>
      <w:r w:rsidR="009F431E" w:rsidRPr="000704FD">
        <w:rPr>
          <w:rFonts w:ascii="Times New Roman" w:hAnsi="Times New Roman" w:cs="Times New Roman"/>
          <w:i/>
          <w:iCs/>
        </w:rPr>
        <w:t>meaning m</w:t>
      </w:r>
      <w:r w:rsidR="00993899" w:rsidRPr="000704FD">
        <w:rPr>
          <w:rFonts w:ascii="Times New Roman" w:hAnsi="Times New Roman" w:cs="Times New Roman"/>
          <w:i/>
          <w:iCs/>
        </w:rPr>
        <w:t>aking shaped by course culture and norms</w:t>
      </w:r>
      <w:r w:rsidR="00993899" w:rsidRPr="000704FD">
        <w:rPr>
          <w:rFonts w:ascii="Times New Roman" w:hAnsi="Times New Roman" w:cs="Times New Roman"/>
        </w:rPr>
        <w:t xml:space="preserve"> and 2) </w:t>
      </w:r>
      <w:r w:rsidR="00993899" w:rsidRPr="000704FD">
        <w:rPr>
          <w:rFonts w:ascii="Times New Roman" w:hAnsi="Times New Roman" w:cs="Times New Roman"/>
          <w:i/>
          <w:iCs/>
        </w:rPr>
        <w:t>instructor modeling as legitimization of AI use</w:t>
      </w:r>
      <w:r w:rsidR="00993899" w:rsidRPr="000704FD">
        <w:rPr>
          <w:rFonts w:ascii="Times New Roman" w:hAnsi="Times New Roman" w:cs="Times New Roman"/>
        </w:rPr>
        <w:t xml:space="preserve">. </w:t>
      </w:r>
    </w:p>
    <w:p w14:paraId="26081124" w14:textId="1A08EB80" w:rsidR="00993899" w:rsidRPr="000704FD" w:rsidRDefault="00993899" w:rsidP="000704FD">
      <w:pPr>
        <w:spacing w:line="240" w:lineRule="auto"/>
        <w:rPr>
          <w:rFonts w:ascii="Times New Roman" w:hAnsi="Times New Roman" w:cs="Times New Roman"/>
          <w:b/>
          <w:i/>
        </w:rPr>
      </w:pPr>
      <w:r w:rsidRPr="000704FD">
        <w:rPr>
          <w:rFonts w:ascii="Times New Roman" w:hAnsi="Times New Roman" w:cs="Times New Roman"/>
          <w:b/>
          <w:bCs/>
          <w:i/>
          <w:iCs/>
        </w:rPr>
        <w:t xml:space="preserve">Subtheme 1: </w:t>
      </w:r>
      <w:r w:rsidR="009F431E" w:rsidRPr="000704FD">
        <w:rPr>
          <w:rFonts w:ascii="Times New Roman" w:hAnsi="Times New Roman" w:cs="Times New Roman"/>
          <w:b/>
          <w:bCs/>
          <w:i/>
          <w:iCs/>
        </w:rPr>
        <w:t>Meaning M</w:t>
      </w:r>
      <w:r w:rsidRPr="000704FD">
        <w:rPr>
          <w:rFonts w:ascii="Times New Roman" w:hAnsi="Times New Roman" w:cs="Times New Roman"/>
          <w:b/>
          <w:bCs/>
          <w:i/>
          <w:iCs/>
        </w:rPr>
        <w:t xml:space="preserve">aking Shaped by Course Culture and Norms </w:t>
      </w:r>
    </w:p>
    <w:p w14:paraId="7262FBE6" w14:textId="07B41CCA" w:rsidR="00C43798" w:rsidRPr="000704FD" w:rsidRDefault="00C43798" w:rsidP="000704FD">
      <w:pPr>
        <w:spacing w:line="240" w:lineRule="auto"/>
        <w:ind w:firstLine="720"/>
        <w:rPr>
          <w:rFonts w:ascii="Times New Roman" w:hAnsi="Times New Roman" w:cs="Times New Roman"/>
        </w:rPr>
      </w:pPr>
      <w:r w:rsidRPr="000704FD">
        <w:rPr>
          <w:rFonts w:ascii="Times New Roman" w:hAnsi="Times New Roman" w:cs="Times New Roman"/>
        </w:rPr>
        <w:t>Instructors were intentional in cultivating a classroom culture that supported exploration, ethical awareness, and reflective engagement with AI. Course discussions foregrounded responsible AI use in research contexts, ethical considerations, the human–AI interface, and potential limitations. From students’ perspectives, this framing created a sense of permission to engage while maintaining caution. Mike captured this orientation, stating, “The fact that it [AI] was implemented by the professor with the attitude to help us use it responsibly sort of allowed me to be more open to my learning because of that permission.” Sarah similarly noted that “it was helpful to learn approved ways to expand my use of AI and to have hands on time to work with the prompts.”</w:t>
      </w:r>
    </w:p>
    <w:p w14:paraId="2D82E489" w14:textId="208CAD69" w:rsidR="00C43798" w:rsidRPr="000704FD" w:rsidRDefault="00C43798" w:rsidP="000704FD">
      <w:pPr>
        <w:spacing w:line="240" w:lineRule="auto"/>
        <w:ind w:firstLine="720"/>
        <w:rPr>
          <w:rFonts w:ascii="Times New Roman" w:hAnsi="Times New Roman" w:cs="Times New Roman"/>
        </w:rPr>
      </w:pPr>
      <w:r w:rsidRPr="000704FD">
        <w:rPr>
          <w:rFonts w:ascii="Times New Roman" w:hAnsi="Times New Roman" w:cs="Times New Roman"/>
        </w:rPr>
        <w:t xml:space="preserve">The course culture emphasized both openness to experimentation and the expectation that students </w:t>
      </w:r>
      <w:proofErr w:type="gramStart"/>
      <w:r w:rsidRPr="000704FD">
        <w:rPr>
          <w:rFonts w:ascii="Times New Roman" w:hAnsi="Times New Roman" w:cs="Times New Roman"/>
        </w:rPr>
        <w:t>develop</w:t>
      </w:r>
      <w:proofErr w:type="gramEnd"/>
      <w:r w:rsidRPr="000704FD">
        <w:rPr>
          <w:rFonts w:ascii="Times New Roman" w:hAnsi="Times New Roman" w:cs="Times New Roman"/>
        </w:rPr>
        <w:t xml:space="preserve"> judgment about AI’s limitations. Several students highlighted the importance of learning how AI functions and why skepticism is warranted. Payton reflected, “… I also found it very valuable to learn more about how AI actually works and why we should be wary of it.” Kendall linked this framing to her professional context, noting that “[Instructor’s] reference to being AI proficient as a skill for the future, and an intention to teach these skills to graduate students” aligned with her interest in practical skill development.</w:t>
      </w:r>
    </w:p>
    <w:p w14:paraId="61E0B494" w14:textId="687FA139" w:rsidR="00C43798" w:rsidRPr="000704FD" w:rsidRDefault="00C43798" w:rsidP="000704FD">
      <w:pPr>
        <w:spacing w:line="240" w:lineRule="auto"/>
        <w:ind w:firstLine="720"/>
        <w:rPr>
          <w:rFonts w:ascii="Times New Roman" w:hAnsi="Times New Roman" w:cs="Times New Roman"/>
        </w:rPr>
      </w:pPr>
      <w:r w:rsidRPr="000704FD">
        <w:rPr>
          <w:rFonts w:ascii="Times New Roman" w:hAnsi="Times New Roman" w:cs="Times New Roman"/>
        </w:rPr>
        <w:t>Shared norms reinforced the idea that AI was a tool for learning rather than a shortcut. Students repeatedly echoed this framing in their reflections. Kendall observed that the exercises revealed AI’s usefulness “not as a shortcut to learning, but rather as a high-powered research tool, helping to narrow down possibilities, produce potential ideas and sources, and generally as a brainstorming tool.” Nevada described a shift in her own practice, stating, “I really liked how we used AI as a tool to understand concepts. I never really used AI to understand a concept...”</w:t>
      </w:r>
    </w:p>
    <w:p w14:paraId="3A5E98E1" w14:textId="1E5EBC82" w:rsidR="00993899" w:rsidRDefault="00C43798" w:rsidP="000704FD">
      <w:pPr>
        <w:spacing w:line="240" w:lineRule="auto"/>
        <w:ind w:firstLine="720"/>
        <w:rPr>
          <w:rFonts w:ascii="Times New Roman" w:hAnsi="Times New Roman" w:cs="Times New Roman"/>
        </w:rPr>
      </w:pPr>
      <w:r w:rsidRPr="000704FD">
        <w:rPr>
          <w:rFonts w:ascii="Times New Roman" w:hAnsi="Times New Roman" w:cs="Times New Roman"/>
        </w:rPr>
        <w:t xml:space="preserve">Peer collaboration further shaped </w:t>
      </w:r>
      <w:r w:rsidR="00302F0A" w:rsidRPr="000704FD">
        <w:rPr>
          <w:rFonts w:ascii="Times New Roman" w:hAnsi="Times New Roman" w:cs="Times New Roman"/>
        </w:rPr>
        <w:t>sense-making</w:t>
      </w:r>
      <w:r w:rsidRPr="000704FD">
        <w:rPr>
          <w:rFonts w:ascii="Times New Roman" w:hAnsi="Times New Roman" w:cs="Times New Roman"/>
        </w:rPr>
        <w:t xml:space="preserve"> around AI use. Early emphasis on team science, multiple perspectives, and shared reflection normalized collective exploration. Students described frequent peer discussion</w:t>
      </w:r>
      <w:r w:rsidR="00B45576" w:rsidRPr="000704FD">
        <w:rPr>
          <w:rFonts w:ascii="Times New Roman" w:hAnsi="Times New Roman" w:cs="Times New Roman"/>
        </w:rPr>
        <w:t>s</w:t>
      </w:r>
      <w:r w:rsidRPr="000704FD">
        <w:rPr>
          <w:rFonts w:ascii="Times New Roman" w:hAnsi="Times New Roman" w:cs="Times New Roman"/>
        </w:rPr>
        <w:t xml:space="preserve"> during AI activities, including comparing prompts, reacting to inaccuracies, and sharing frustrations and successes. Many reflected that observing peers influenced their prompt construction, learning strategies, and enjoyment of AI-supported activities. Together, these cultural conditions reduced isolation and reinforced AI engagement as a shared, reflective practice</w:t>
      </w:r>
      <w:r w:rsidR="00993899" w:rsidRPr="000704FD">
        <w:rPr>
          <w:rFonts w:ascii="Times New Roman" w:hAnsi="Times New Roman" w:cs="Times New Roman"/>
        </w:rPr>
        <w:t xml:space="preserve">. </w:t>
      </w:r>
    </w:p>
    <w:p w14:paraId="2214E3F0" w14:textId="77777777" w:rsidR="00C60484" w:rsidRPr="000704FD" w:rsidRDefault="00C60484" w:rsidP="000704FD">
      <w:pPr>
        <w:spacing w:line="240" w:lineRule="auto"/>
        <w:ind w:firstLine="720"/>
        <w:rPr>
          <w:rFonts w:ascii="Times New Roman" w:hAnsi="Times New Roman" w:cs="Times New Roman"/>
        </w:rPr>
      </w:pPr>
    </w:p>
    <w:p w14:paraId="77D75B83" w14:textId="15FAE8F4" w:rsidR="00993899" w:rsidRPr="000704FD" w:rsidRDefault="00993899" w:rsidP="000704FD">
      <w:pPr>
        <w:spacing w:line="240" w:lineRule="auto"/>
        <w:rPr>
          <w:rFonts w:ascii="Times New Roman" w:hAnsi="Times New Roman" w:cs="Times New Roman"/>
          <w:b/>
          <w:i/>
        </w:rPr>
      </w:pPr>
      <w:r w:rsidRPr="000704FD">
        <w:rPr>
          <w:rFonts w:ascii="Times New Roman" w:hAnsi="Times New Roman" w:cs="Times New Roman"/>
          <w:b/>
          <w:bCs/>
          <w:i/>
          <w:iCs/>
        </w:rPr>
        <w:lastRenderedPageBreak/>
        <w:t xml:space="preserve">Subtheme 2: Instructor Modeling as Legitimization of AI Use </w:t>
      </w:r>
    </w:p>
    <w:p w14:paraId="0E6908D1" w14:textId="516222B1" w:rsidR="00C43798" w:rsidRPr="000704FD" w:rsidRDefault="00993899" w:rsidP="000704FD">
      <w:pPr>
        <w:spacing w:line="240" w:lineRule="auto"/>
        <w:rPr>
          <w:rFonts w:ascii="Times New Roman" w:hAnsi="Times New Roman" w:cs="Times New Roman"/>
        </w:rPr>
      </w:pPr>
      <w:r w:rsidRPr="000704FD">
        <w:rPr>
          <w:rFonts w:ascii="Times New Roman" w:hAnsi="Times New Roman" w:cs="Times New Roman"/>
        </w:rPr>
        <w:tab/>
      </w:r>
      <w:r w:rsidR="00C43798" w:rsidRPr="000704FD">
        <w:rPr>
          <w:rFonts w:ascii="Times New Roman" w:hAnsi="Times New Roman" w:cs="Times New Roman"/>
        </w:rPr>
        <w:t xml:space="preserve">Instructor modeling played a central role in legitimizing AI use and supporting students’ willingness to engage. Modeling focused on how to initiate, question, and challenge </w:t>
      </w:r>
      <w:r w:rsidR="007E1BC0" w:rsidRPr="000704FD">
        <w:rPr>
          <w:rFonts w:ascii="Times New Roman" w:hAnsi="Times New Roman" w:cs="Times New Roman"/>
        </w:rPr>
        <w:t xml:space="preserve">the </w:t>
      </w:r>
      <w:r w:rsidR="00C43798" w:rsidRPr="000704FD">
        <w:rPr>
          <w:rFonts w:ascii="Times New Roman" w:hAnsi="Times New Roman" w:cs="Times New Roman"/>
        </w:rPr>
        <w:t>AI rather than on producing correct outputs. This approach communicated that AI use was acceptable when paired with critical judgment. Mike again emphasized the importance of this stance, stating, “The fact that it was implemented by the professor with the attitude to help us use it responsibly sort of allowed me to be more open to my learning because of that permission.”</w:t>
      </w:r>
    </w:p>
    <w:p w14:paraId="572E8EF7" w14:textId="2C7D5232" w:rsidR="00C43798" w:rsidRPr="000704FD" w:rsidRDefault="00C43798" w:rsidP="000704FD">
      <w:pPr>
        <w:spacing w:line="240" w:lineRule="auto"/>
        <w:ind w:firstLine="720"/>
        <w:rPr>
          <w:rFonts w:ascii="Times New Roman" w:hAnsi="Times New Roman" w:cs="Times New Roman"/>
        </w:rPr>
      </w:pPr>
      <w:r w:rsidRPr="000704FD">
        <w:rPr>
          <w:rFonts w:ascii="Times New Roman" w:hAnsi="Times New Roman" w:cs="Times New Roman"/>
        </w:rPr>
        <w:t xml:space="preserve">Students frequently described </w:t>
      </w:r>
      <w:r w:rsidR="007E1BC0" w:rsidRPr="000704FD">
        <w:rPr>
          <w:rFonts w:ascii="Times New Roman" w:hAnsi="Times New Roman" w:cs="Times New Roman"/>
        </w:rPr>
        <w:t xml:space="preserve">intentionally </w:t>
      </w:r>
      <w:r w:rsidRPr="000704FD">
        <w:rPr>
          <w:rFonts w:ascii="Times New Roman" w:hAnsi="Times New Roman" w:cs="Times New Roman"/>
        </w:rPr>
        <w:t xml:space="preserve">following </w:t>
      </w:r>
      <w:r w:rsidR="007E1BC0" w:rsidRPr="000704FD">
        <w:rPr>
          <w:rFonts w:ascii="Times New Roman" w:hAnsi="Times New Roman" w:cs="Times New Roman"/>
        </w:rPr>
        <w:t xml:space="preserve">the </w:t>
      </w:r>
      <w:r w:rsidRPr="000704FD">
        <w:rPr>
          <w:rFonts w:ascii="Times New Roman" w:hAnsi="Times New Roman" w:cs="Times New Roman"/>
        </w:rPr>
        <w:t xml:space="preserve">instructor-provided prompts during early activities, particularly when they lacked confidence in how to begin. Kendall noted that she found “the guidance in class helpful, to consider how to get started, and also engaged with trying new things.” Early in the semester, Paul and Mike reported closely following instructor prompts, with Mike explaining, “I followed along with the instruction led in class. I didn't deter too much, but it left me with enough to be dangerous in the future.” As confidence developed, students described branching out from modeled prompts to pursue their own </w:t>
      </w:r>
      <w:r w:rsidR="007E1BC0" w:rsidRPr="000704FD">
        <w:rPr>
          <w:rFonts w:ascii="Times New Roman" w:hAnsi="Times New Roman" w:cs="Times New Roman"/>
        </w:rPr>
        <w:t>inquirie</w:t>
      </w:r>
      <w:r w:rsidRPr="000704FD">
        <w:rPr>
          <w:rFonts w:ascii="Times New Roman" w:hAnsi="Times New Roman" w:cs="Times New Roman"/>
        </w:rPr>
        <w:t>s and strategies.</w:t>
      </w:r>
    </w:p>
    <w:p w14:paraId="2BC1480D" w14:textId="5E514C98" w:rsidR="00C43798" w:rsidRPr="000704FD" w:rsidRDefault="00C43798" w:rsidP="000704FD">
      <w:pPr>
        <w:spacing w:line="240" w:lineRule="auto"/>
        <w:ind w:firstLine="720"/>
        <w:rPr>
          <w:rFonts w:ascii="Times New Roman" w:hAnsi="Times New Roman" w:cs="Times New Roman"/>
        </w:rPr>
      </w:pPr>
      <w:r w:rsidRPr="000704FD">
        <w:rPr>
          <w:rFonts w:ascii="Times New Roman" w:hAnsi="Times New Roman" w:cs="Times New Roman"/>
        </w:rPr>
        <w:t>Instructor modeling also emphasized iterative engagement with AI. Instructors consistently framed AI interaction as a process of reading, analyzing, revising, and re-engaging, paralleling the iterative nature of research itself. Students described adopting this approach in their own work. Christine and Kendall referenced how observing instructors challenge AI outputs encouraged them to do the same, seeking multiple perspectives and identifying biases or assumptions. Paul reflected, “I've learned that it's useful to do iterative rounds of searching for literature with feedback and support from AI. This has supported me in learning about my own biases and oversights.”</w:t>
      </w:r>
    </w:p>
    <w:p w14:paraId="04F878FE" w14:textId="4554924A" w:rsidR="00993899" w:rsidRPr="000704FD" w:rsidRDefault="00C43798" w:rsidP="000704FD">
      <w:pPr>
        <w:spacing w:line="240" w:lineRule="auto"/>
        <w:ind w:firstLine="720"/>
        <w:rPr>
          <w:rFonts w:ascii="Times New Roman" w:hAnsi="Times New Roman" w:cs="Times New Roman"/>
        </w:rPr>
      </w:pPr>
      <w:r w:rsidRPr="000704FD">
        <w:rPr>
          <w:rFonts w:ascii="Times New Roman" w:hAnsi="Times New Roman" w:cs="Times New Roman"/>
        </w:rPr>
        <w:t>Across accounts, modeling functioned less as technical instruction and more as legitimization of reflective practice. By demonstrating uncertainty, critique, and revision, instructors framed AI use as compatible with scholarly judgment rather than as a replacement. This modeling supported students’ movement from imitation toward more intentional, self-directed engagement with AI.</w:t>
      </w:r>
      <w:r w:rsidR="00993899" w:rsidRPr="000704FD">
        <w:rPr>
          <w:rFonts w:ascii="Times New Roman" w:hAnsi="Times New Roman" w:cs="Times New Roman"/>
        </w:rPr>
        <w:t xml:space="preserve">   </w:t>
      </w:r>
    </w:p>
    <w:p w14:paraId="5613BE4E" w14:textId="278DE39C" w:rsidR="0051355C" w:rsidRPr="000704FD" w:rsidRDefault="00993899" w:rsidP="000704FD">
      <w:pPr>
        <w:spacing w:line="240" w:lineRule="auto"/>
        <w:jc w:val="center"/>
        <w:rPr>
          <w:rFonts w:ascii="Times New Roman" w:eastAsia="Times New Roman" w:hAnsi="Times New Roman" w:cs="Times New Roman"/>
          <w:b/>
          <w:bCs/>
          <w:color w:val="212325"/>
          <w:kern w:val="0"/>
          <w14:ligatures w14:val="none"/>
        </w:rPr>
      </w:pPr>
      <w:r w:rsidRPr="000704FD">
        <w:rPr>
          <w:rFonts w:ascii="Times New Roman" w:hAnsi="Times New Roman" w:cs="Times New Roman"/>
          <w:b/>
          <w:bCs/>
        </w:rPr>
        <w:t>Discussion</w:t>
      </w:r>
    </w:p>
    <w:p w14:paraId="31F72B09" w14:textId="5872B1C4" w:rsidR="00C43798" w:rsidRPr="000704FD" w:rsidRDefault="00D37CD0" w:rsidP="00537F57">
      <w:pPr>
        <w:spacing w:line="240" w:lineRule="auto"/>
        <w:rPr>
          <w:rFonts w:ascii="Times New Roman" w:hAnsi="Times New Roman" w:cs="Times New Roman"/>
        </w:rPr>
      </w:pPr>
      <w:r w:rsidRPr="000704FD">
        <w:rPr>
          <w:rFonts w:ascii="Times New Roman" w:hAnsi="Times New Roman" w:cs="Times New Roman"/>
        </w:rPr>
        <w:tab/>
      </w:r>
      <w:r w:rsidR="00537F57" w:rsidRPr="00537F57">
        <w:rPr>
          <w:rFonts w:ascii="Times New Roman" w:hAnsi="Times New Roman" w:cs="Times New Roman"/>
        </w:rPr>
        <w:t>AI functioned as a learning tool only insofar as students were able to make meaning of it within the norms and expectations of the course. Course culture played a central role in shaping this process. The instructional environment framed AI use as permissible and exploratory while maintaining a cautious stance toward its epistemic limits. Shared norms emphasized vulnerability in learning, AI as support rather than shortcut, and collaboration as a legitimate mode of inquiry. These norms were reflected not only in students’ descriptions of activities but also in the language they used to describe AI. This shared discourse suggests that culture and modeling shaped how AI was interpreted and engaged. These findings reinforce the idea that how AI is introduced and discussed matters as much as the tool itself in shaping student engagement, aligning with perspectives that AI is encountered through the meanings and values attached to it rather than as a neutral system</w:t>
      </w:r>
      <w:r w:rsidR="008A470C" w:rsidRPr="000704FD">
        <w:rPr>
          <w:rFonts w:ascii="Times New Roman" w:hAnsi="Times New Roman" w:cs="Times New Roman"/>
        </w:rPr>
        <w:t xml:space="preserve"> </w:t>
      </w:r>
      <w:r w:rsidR="008A470C" w:rsidRPr="000704FD">
        <w:rPr>
          <w:rFonts w:ascii="Times New Roman" w:hAnsi="Times New Roman" w:cs="Times New Roman"/>
        </w:rPr>
        <w:fldChar w:fldCharType="begin"/>
      </w:r>
      <w:r w:rsidR="008A470C" w:rsidRPr="000704FD">
        <w:rPr>
          <w:rFonts w:ascii="Times New Roman" w:hAnsi="Times New Roman" w:cs="Times New Roman"/>
        </w:rPr>
        <w:instrText xml:space="preserve"> ADDIN ZOTERO_ITEM CSL_CITATION {"citationID":"pmW8B59n","properties":{"formattedCitation":"(Bozkurt et al., 2024)","plainCitation":"(Bozkurt et al., 2024)","noteIndex":0},"citationItems":[{"id":18628,"uris":["http://zotero.org/users/14842315/items/NMFKXPBP"],"itemData":{"id":18628,"type":"article-journal","abstract":"This manifesto critically examines the unfolding integration of Generative AI (GenAI), chatbots, and algorithms into higher education, using a collective and thoughtful approach to navigate the future of teaching and learning. GenAI, while celebrated for its potential to personalize learning, enhance efficiency, and expand educational accessibility, is far from a neutral tool. Algorithms now shape human interaction, communication, and content creation, raising profound questions about human agency and biases and values embedded in their designs. As GenAI continues to evolve, we face critical challenges in maintaining human oversight, safeguarding equity, and facilitating meaningful, authentic learning experiences. This manifesto emphasizes that GenAI is not ideologically and culturally neutral. Instead, it reflects worldviews that can reinforce existing biases and marginalize diverse voices. Furthermore, as the use of GenAI reshapes education, it risks eroding essential human elements—creativity, critical thinking, and empathy—and could displace meaningful human interactions with algorithmic solutions. This manifesto calls for robust, evidence-based research and conscious decision-making to ensure that GenAI enhances, rather than diminishes, human agency and ethical responsibility in education.","container-title":"Open Praxis","DOI":"10.55982/openpraxis.16.4.777","ISSN":"2304-070X","issue":"4","language":"en","page":"487-513","source":"DOI.org (Crossref)","title":"The Manifesto for Teaching and Learning in a Time of Generative AI: A Critical Collective Stance to Better Navigate the Future","title-short":"The Manifesto for Teaching and Learning in a Time of Generative AI","volume":"16","author":[{"family":"Bozkurt","given":"Aras"},{"family":"Xiao","given":"Junhong"},{"family":"Farrow","given":"Robert"},{"family":"Bai","given":"John Y. H."},{"family":"Nerantzi","given":"Chrissi"},{"family":"Moore","given":"Stephanie"},{"family":"Dron","given":"Jon"},{"family":"Stracke","given":"Christian M."},{"family":"Singh","given":"Lenandlar"},{"family":"Crompton","given":"Helen"},{"family":"Koutropoulos","given":"Apostolos"},{"family":"Terentev","given":"Evgenii"},{"family":"Pazurek","given":"Angelica"},{"family":"Nichols","given":"Mark"},{"family":"Sidorkin","given":"Alexander M."},{"family":"Costello","given":"Eamon"},{"family":"Watson","given":"Steven"},{"family":"Mulligan","given":"Dónal"},{"family":"Honeychurch","given":"Sarah"},{"family":"Hodges","given":"Charles B."},{"family":"Sharples","given":"Mike"},{"family":"Swindell","given":"Andrew"},{"family":"Frumin","given":"Isak"},{"family":"Tlili","given":"Ahmed"},{"family":"Slagter Van Tryon","given":"Patricia J."},{"family":"Bond","given":"Melissa"},{"family":"Bali","given":"Maha"},{"family":"Leng","given":"Jing"},{"family":"Zhang","given":"Kai"},{"family":"Cukurova","given":"Mutlu"},{"family":"Chiu","given":"Thomas K. F."},{"family":"Lee","given":"Kyungmee"},{"family":"Hrastinski","given":"Stefan"},{"family":"Garcia","given":"Manuel B."},{"family":"Sharma","given":"Ramesh Chander"},{"family":"Alexander","given":"Bryan"},{"family":"Zawacki-Richter","given":"Olaf"},{"family":"Huijser","given":"Henk"},{"family":"Jandrić","given":"Petar"},{"family":"Zheng","given":"Chanjin"},{"family":"Shea","given":"Peter"},{"family":"Duart","given":"Josep M."},{"family":"Themeli","given":"Chryssa"},{"family":"Vorochkov","given":"Anton"},{"family":"Sani-Bozkurt","given":"Sunagül"},{"family":"Moore","given":"Robert L."},{"family":"Asino","given":"Tutaleni Iita"}],"issued":{"date-parts":[["2024",11,29]]}}}],"schema":"https://github.com/citation-style-language/schema/raw/master/csl-citation.json"} </w:instrText>
      </w:r>
      <w:r w:rsidR="008A470C" w:rsidRPr="000704FD">
        <w:rPr>
          <w:rFonts w:ascii="Times New Roman" w:hAnsi="Times New Roman" w:cs="Times New Roman"/>
        </w:rPr>
        <w:fldChar w:fldCharType="separate"/>
      </w:r>
      <w:r w:rsidR="008A470C" w:rsidRPr="000704FD">
        <w:rPr>
          <w:rFonts w:ascii="Times New Roman" w:hAnsi="Times New Roman" w:cs="Times New Roman"/>
        </w:rPr>
        <w:t>(Bozkurt et al., 2024)</w:t>
      </w:r>
      <w:r w:rsidR="008A470C" w:rsidRPr="000704FD">
        <w:rPr>
          <w:rFonts w:ascii="Times New Roman" w:hAnsi="Times New Roman" w:cs="Times New Roman"/>
        </w:rPr>
        <w:fldChar w:fldCharType="end"/>
      </w:r>
      <w:r w:rsidR="008A470C" w:rsidRPr="000704FD">
        <w:rPr>
          <w:rFonts w:ascii="Times New Roman" w:hAnsi="Times New Roman" w:cs="Times New Roman"/>
        </w:rPr>
        <w:t xml:space="preserve">. </w:t>
      </w:r>
    </w:p>
    <w:p w14:paraId="216D8970" w14:textId="77777777" w:rsidR="009746EF" w:rsidRDefault="00093028" w:rsidP="000704FD">
      <w:pPr>
        <w:spacing w:line="240" w:lineRule="auto"/>
        <w:ind w:firstLine="720"/>
        <w:rPr>
          <w:rFonts w:ascii="Times New Roman" w:hAnsi="Times New Roman" w:cs="Times New Roman"/>
        </w:rPr>
      </w:pPr>
      <w:r w:rsidRPr="000704FD">
        <w:rPr>
          <w:rFonts w:ascii="Times New Roman" w:hAnsi="Times New Roman" w:cs="Times New Roman"/>
        </w:rPr>
        <w:t xml:space="preserve">Students’ </w:t>
      </w:r>
      <w:proofErr w:type="gramStart"/>
      <w:r w:rsidRPr="000704FD">
        <w:rPr>
          <w:rFonts w:ascii="Times New Roman" w:hAnsi="Times New Roman" w:cs="Times New Roman"/>
        </w:rPr>
        <w:t>meaning-making</w:t>
      </w:r>
      <w:proofErr w:type="gramEnd"/>
      <w:r w:rsidRPr="000704FD">
        <w:rPr>
          <w:rFonts w:ascii="Times New Roman" w:hAnsi="Times New Roman" w:cs="Times New Roman"/>
        </w:rPr>
        <w:t xml:space="preserve"> about AI was closely intertwined with metacognitive engagement. They used AI to articulate uncertainty, identify knowledge gaps, and plan strategies, </w:t>
      </w:r>
      <w:r w:rsidRPr="000704FD">
        <w:rPr>
          <w:rFonts w:ascii="Times New Roman" w:hAnsi="Times New Roman" w:cs="Times New Roman"/>
        </w:rPr>
        <w:lastRenderedPageBreak/>
        <w:t xml:space="preserve">often externalizing “not knowing” and experimenting with unfamiliar or complex content. Practices such as planning, monitoring understanding, and evaluating responses shaped how students refined prompts and assessed outputs. At the same time, effective AI use depended on prior knowledge; when foundational understanding was limited, students were less able to evaluate or challenge responses. These findings suggest that AI can support metacognition when paired with reflection, but its usefulness is </w:t>
      </w:r>
      <w:proofErr w:type="gramStart"/>
      <w:r w:rsidRPr="000704FD">
        <w:rPr>
          <w:rFonts w:ascii="Times New Roman" w:hAnsi="Times New Roman" w:cs="Times New Roman"/>
        </w:rPr>
        <w:t>bounded</w:t>
      </w:r>
      <w:proofErr w:type="gramEnd"/>
      <w:r w:rsidRPr="000704FD">
        <w:rPr>
          <w:rFonts w:ascii="Times New Roman" w:hAnsi="Times New Roman" w:cs="Times New Roman"/>
        </w:rPr>
        <w:t xml:space="preserve"> by learners’ existing knowledge and evaluative capacity. This aligns with research showing that AI-supported learning depends on sustained engagement in monitoring and </w:t>
      </w:r>
      <w:proofErr w:type="spellStart"/>
      <w:r w:rsidRPr="000704FD">
        <w:rPr>
          <w:rFonts w:ascii="Times New Roman" w:hAnsi="Times New Roman" w:cs="Times New Roman"/>
        </w:rPr>
        <w:t>evaluatio</w:t>
      </w:r>
      <w:r w:rsidR="00B218FB" w:rsidRPr="000704FD">
        <w:rPr>
          <w:rFonts w:ascii="Times New Roman" w:hAnsi="Times New Roman" w:cs="Times New Roman"/>
        </w:rPr>
        <w:t>g</w:t>
      </w:r>
      <w:proofErr w:type="spellEnd"/>
      <w:r w:rsidR="00B218FB" w:rsidRPr="000704FD">
        <w:rPr>
          <w:rFonts w:ascii="Times New Roman" w:hAnsi="Times New Roman" w:cs="Times New Roman"/>
        </w:rPr>
        <w:t xml:space="preserve"> </w:t>
      </w:r>
      <w:r w:rsidR="003A2B13" w:rsidRPr="000704FD">
        <w:rPr>
          <w:rFonts w:ascii="Times New Roman" w:hAnsi="Times New Roman" w:cs="Times New Roman"/>
        </w:rPr>
        <w:fldChar w:fldCharType="begin"/>
      </w:r>
      <w:r w:rsidR="003A2B13" w:rsidRPr="000704FD">
        <w:rPr>
          <w:rFonts w:ascii="Times New Roman" w:hAnsi="Times New Roman" w:cs="Times New Roman"/>
        </w:rPr>
        <w:instrText xml:space="preserve"> ADDIN ZOTERO_ITEM CSL_CITATION {"citationID":"mPkElcbS","properties":{"formattedCitation":"(Hutson &amp; Plate, 2023)","plainCitation":"(Hutson &amp; Plate, 2023)","noteIndex":0},"citationItems":[{"id":18659,"uris":["http://zotero.org/users/14842315/items/RQ3R4FLH"],"itemData":{"id":18659,"type":"article-journal","abstract":"This chapter investigates the profound influence of intelligent virtual assistants (IVAs) on the educational domain, specifically in the realm of individualized learning and the instruction of writing abilities and content creation. IVAs, incorporating generative AI technologies such as ChatGPT and Stable Diffusion, hold the potential to bring about a paradigm shift in educational programs, emphasizing the enhancement of advanced metacognitive capacities rather than the fundamentals of communication. The subsequent recommendations stress the need to cultivate enduring proficiencies and ascertain tailored learning approaches for each learner, which will be indispensable for success in the evolving job market. In this context, prompt engineering is emerging as a vital competency, while continuous reskilling and lifelong learning become professional requisites. The proposed innovative method for teaching writing skills and content generation advocates for a reconfiguration of curricula to concentrate on applied learning techniques that accentuate the value of contextual judgment as a central pedagogical tenet and the mastery of sophisticated metacognitive abilities, which will be pivotal in the future of work.","container-title":"Faculty Scholarship","language":"en","license":"https://creativecommons.org/licenses/by/3.0/legalcode","source":"DOI.org (Crossref)","title":"Human-AI Collaboration for Smart Education: Reframing Applied Learning to Support Metacognition","title-short":"Human-AI Collaboration for Smart Education","URL":"https://digitalcommons.lindenwood.edu/faculty-research-papers/480","author":[{"family":"Hutson","given":"James"},{"family":"Plate","given":"Daniel"}],"accessed":{"date-parts":[["2026",4,2]]},"issued":{"date-parts":[["2023",6,15]]}}}],"schema":"https://github.com/citation-style-language/schema/raw/master/csl-citation.json"} </w:instrText>
      </w:r>
      <w:r w:rsidR="003A2B13" w:rsidRPr="000704FD">
        <w:rPr>
          <w:rFonts w:ascii="Times New Roman" w:hAnsi="Times New Roman" w:cs="Times New Roman"/>
        </w:rPr>
        <w:fldChar w:fldCharType="separate"/>
      </w:r>
      <w:r w:rsidR="003A2B13" w:rsidRPr="000704FD">
        <w:rPr>
          <w:rFonts w:ascii="Times New Roman" w:hAnsi="Times New Roman" w:cs="Times New Roman"/>
        </w:rPr>
        <w:t>(Hutson &amp; Plate, 2023)</w:t>
      </w:r>
      <w:r w:rsidR="003A2B13" w:rsidRPr="000704FD">
        <w:rPr>
          <w:rFonts w:ascii="Times New Roman" w:hAnsi="Times New Roman" w:cs="Times New Roman"/>
        </w:rPr>
        <w:fldChar w:fldCharType="end"/>
      </w:r>
      <w:r w:rsidR="00443EBD" w:rsidRPr="000704FD">
        <w:rPr>
          <w:rFonts w:ascii="Times New Roman" w:hAnsi="Times New Roman" w:cs="Times New Roman"/>
        </w:rPr>
        <w:t xml:space="preserve"> </w:t>
      </w:r>
      <w:r w:rsidRPr="000704FD">
        <w:rPr>
          <w:rFonts w:ascii="Times New Roman" w:hAnsi="Times New Roman" w:cs="Times New Roman"/>
        </w:rPr>
        <w:t>and may also encourage cognitive offloading under certain conditions</w:t>
      </w:r>
      <w:r w:rsidR="00443EBD" w:rsidRPr="000704FD">
        <w:rPr>
          <w:rFonts w:ascii="Times New Roman" w:hAnsi="Times New Roman" w:cs="Times New Roman"/>
        </w:rPr>
        <w:t xml:space="preserve"> </w:t>
      </w:r>
      <w:r w:rsidR="003A2B13" w:rsidRPr="000704FD">
        <w:rPr>
          <w:rFonts w:ascii="Times New Roman" w:hAnsi="Times New Roman" w:cs="Times New Roman"/>
        </w:rPr>
        <w:fldChar w:fldCharType="begin"/>
      </w:r>
      <w:r w:rsidR="003A2B13" w:rsidRPr="000704FD">
        <w:rPr>
          <w:rFonts w:ascii="Times New Roman" w:hAnsi="Times New Roman" w:cs="Times New Roman"/>
        </w:rPr>
        <w:instrText xml:space="preserve"> ADDIN ZOTERO_ITEM CSL_CITATION {"citationID":"aJJcKaEH","properties":{"formattedCitation":"(Fan et al., 2025)","plainCitation":"(Fan et al., 2025)","noteIndex":0},"citationItems":[{"id":16745,"uris":["http://zotero.org/users/14842315/items/W9352GUC"],"itemData":{"id":16745,"type":"article-journal","abstract":"Abstract\n              With the continuous development of technological and educational innovation, learners nowadays can obtain a variety of supports from agents such as teachers, peers, education technologies, and recently, generative artificial intelligence such as ChatGPT. In particular, there has been a surge of academic interest in human‐AI collaboration and hybrid intelligence in learning. The concept of hybrid intelligence is still at a nascent stage, and how learners can benefit from a symbiotic relationship with various agents such as AI, human experts and intelligent learning systems is still unknown. The emerging concept of hybrid intelligence also lacks deep insights and understanding of the mechanisms and consequences of hybrid human‐AI learning based on strong empirical research. In order to address this gap, we conducted a randomised experimental study and compared learners' motivations, self‐regulated learning processes and learning performances on a writing task among different groups who had support from different agents, that is, ChatGPT (also referred to as the AI group), chat with a human expert, writing analytics tools, and no extra tool. A total of 117 university students were recruited, and their multi‐channel learning, performance and motivation data were collected and analysed. The results revealed that: (1) learners who received different learning support showed no difference in post‐task intrinsic motivation; (2) there were significant differences in the frequency and sequences of the self‐regulated learning processes among groups; (3) ChatGPT group outperformed in the essay score improvement but their knowledge gain and transfer were not significantly different. Our research found that in the absence of differences in motivation, learners with different supports still exhibited different self‐regulated learning processes, ultimately leading to differentiated performance. What is particularly noteworthy is that AI technologies such as ChatGPT may promote learners' dependence on technology and potentially trigger “metacognitive laziness”. In conclusion, understanding and leveraging the respective strengths and weaknesses of different agents in learning is critical in the field of future hybrid intelligence.\n            \n            \n              \n              \n                \n                  \n                    Practitioner notes\n                  \n                  \n                    What is already known about this topic\n                    \n                      \n                        Hybrid intelligence, combining human and machine intelligence, aims to augment human capabilities rather than replace them, creating opportunities for more effective lifelong learning and collaboration.\n                      \n                      \n                        Generative AI, such as ChatGPT, has shown potential in enhancing learning by providing immediate feedback, overcoming language barriers and facilitating personalised educational experiences.\n                      \n                      \n                        The effectiveness of AI in educational contexts varies, with some studies highlighting its benefits in improving academic performance and motivation, while others note limitations in its ability to replace human teachers entirely.\n                      \n                    \n                  \n                  \n                    What this paper adds\n                    \n                      \n                        We conducted a randomised experimental study in the lab setting and compared learners' motivations, self‐regulated learning processes and learning performances among different agent groups (AI, human expert and checklist tools).\n                      \n                      \n                        We found that AI technologies such as ChatGPT may promote learners' dependence on technology and potentially trigger metacognitive \"laziness\", which can potentially hinder their ability to self‐regulate and engage deeply in learning.\n                      \n                      \n                        We also found that ChatGPT can significantly improve short‐term task performance, but it may not boost intrinsic motivation and knowledge gain and transfer.\n                      \n                    \n                  \n                  \n                    Implications for practice and/or policy\n                    \n                      \n                        When using AI in learning, learners should focus on deepening their understanding of knowledge and actively engage in metacognitive processes such as evaluation, monitoring, and orientation, rather than blindly following ChatGPT's feedback solely to complete tasks efficiently.\n                      \n                      \n                        When using AI in teaching, teachers should think about which tasks are suitable for learners to complete with the assistance of AI, pay attention to stimulating learners' intrinsic motivations, and develop scaffolding to assist learners in active learning.\n                      \n                      \n                        Researcher should design multi‐task and cross‐context studies in the future to deepen our understanding of how learners could ethically and effectively learn, regulate, collaborate and evolve with AI.","container-title":"British Journal of Educational Technology","DOI":"10.1111/bjet.13544","ISSN":"0007-1013, 1467-8535","issue":"2","journalAbbreviation":"Brit J Educational Tech","language":"en","page":"489-530","source":"DOI.org (Crossref)","title":"Beware of metacognitive laziness: Effects of generative artificial intelligence on learning motivation, processes, and performance","title-short":"Beware of metacognitive laziness","volume":"56","author":[{"family":"Fan","given":"Yizhou"},{"family":"Tang","given":"Luzhen"},{"family":"Le","given":"Huixiao"},{"family":"Shen","given":"Kejie"},{"family":"Tan","given":"Shufang"},{"family":"Zhao","given":"Yueying"},{"family":"Shen","given":"Yuan"},{"family":"Li","given":"Xinyu"},{"family":"Gašević","given":"Dragan"}],"issued":{"date-parts":[["2025",3]]}}}],"schema":"https://github.com/citation-style-language/schema/raw/master/csl-citation.json"} </w:instrText>
      </w:r>
      <w:r w:rsidR="003A2B13" w:rsidRPr="000704FD">
        <w:rPr>
          <w:rFonts w:ascii="Times New Roman" w:hAnsi="Times New Roman" w:cs="Times New Roman"/>
        </w:rPr>
        <w:fldChar w:fldCharType="separate"/>
      </w:r>
      <w:r w:rsidR="003A2B13" w:rsidRPr="000704FD">
        <w:rPr>
          <w:rFonts w:ascii="Times New Roman" w:hAnsi="Times New Roman" w:cs="Times New Roman"/>
        </w:rPr>
        <w:t>(Fan et al., 2025)</w:t>
      </w:r>
      <w:r w:rsidR="003A2B13" w:rsidRPr="000704FD">
        <w:rPr>
          <w:rFonts w:ascii="Times New Roman" w:hAnsi="Times New Roman" w:cs="Times New Roman"/>
        </w:rPr>
        <w:fldChar w:fldCharType="end"/>
      </w:r>
      <w:r w:rsidR="008D148B" w:rsidRPr="000704FD">
        <w:rPr>
          <w:rFonts w:ascii="Times New Roman" w:hAnsi="Times New Roman" w:cs="Times New Roman"/>
        </w:rPr>
        <w:t>.</w:t>
      </w:r>
      <w:r w:rsidR="003A2B13" w:rsidRPr="000704FD">
        <w:rPr>
          <w:rFonts w:ascii="Times New Roman" w:hAnsi="Times New Roman" w:cs="Times New Roman"/>
        </w:rPr>
        <w:t xml:space="preserve"> </w:t>
      </w:r>
    </w:p>
    <w:p w14:paraId="196D3C41" w14:textId="109AE5C6" w:rsidR="00443EBD" w:rsidRPr="000704FD" w:rsidRDefault="00443EBD" w:rsidP="000704FD">
      <w:pPr>
        <w:spacing w:line="240" w:lineRule="auto"/>
        <w:ind w:firstLine="720"/>
        <w:rPr>
          <w:rFonts w:ascii="Times New Roman" w:hAnsi="Times New Roman" w:cs="Times New Roman"/>
        </w:rPr>
      </w:pPr>
      <w:r w:rsidRPr="000704FD">
        <w:rPr>
          <w:rFonts w:ascii="Times New Roman" w:hAnsi="Times New Roman" w:cs="Times New Roman"/>
        </w:rPr>
        <w:t>In this context, students increasingly encounter tasks that require judging the adequacy, reliability, and relevance of already-synthesized responses, raising the metacognitive demands of verification and prompt design. More broadly, these patterns reflect research suggesting that graduate learning depends on regulating complex processes, externalizing uncertainty, and developing awareness of one’s thinking over time</w:t>
      </w:r>
      <w:r w:rsidR="008D148B" w:rsidRPr="000704FD">
        <w:rPr>
          <w:rFonts w:ascii="Times New Roman" w:hAnsi="Times New Roman" w:cs="Times New Roman"/>
        </w:rPr>
        <w:t xml:space="preserve"> </w:t>
      </w:r>
      <w:r w:rsidR="000B49C0" w:rsidRPr="000704FD">
        <w:rPr>
          <w:rFonts w:ascii="Times New Roman" w:hAnsi="Times New Roman" w:cs="Times New Roman"/>
        </w:rPr>
        <w:fldChar w:fldCharType="begin"/>
      </w:r>
      <w:r w:rsidR="000B49C0" w:rsidRPr="000704FD">
        <w:rPr>
          <w:rFonts w:ascii="Times New Roman" w:hAnsi="Times New Roman" w:cs="Times New Roman"/>
        </w:rPr>
        <w:instrText xml:space="preserve"> ADDIN ZOTERO_ITEM CSL_CITATION {"citationID":"3Dgv154y","properties":{"formattedCitation":"(Negretti, 2021; Zarestky et al., 2022)","plainCitation":"(Negretti, 2021; Zarestky et al., 2022)","noteIndex":0},"citationItems":[{"id":18632,"uris":["http://zotero.org/users/14842315/items/NAMGM64F"],"itemData":{"id":18632,"type":"article-journal","abstract":"What aspects of writing are doctoral students metacognitive about when they write research articles for publication? Contributing to the recent conversation about metacognition in genre pedagogy, this study adopts a qualitative approach to illustrate what students have in common, across disciplines and levels of expertise, and the dynamic interplay of genre knowledge and metacognition in learning to write for research. 24 doctoral students in STEM (science, technology, engineering, and mathematics) were recruited from subsequent runs of a genre-based writing course and were interviewed within a 2-year period when they submitted an article for publication, 3 to 11 months after course completion. Over time and across disciplines, doctoral students’ metacognition converges on four main themes: genre analysis as a “tool” to read and write, audience and the readers’ mind, rhetorical strategies, and the writing process. Furthermore, these themes are extensively combined in the students’ thinking, confirming conceptualizations of expertise as an integration of knowledge types. Metacognition of these themes invoked increased perceived confidence and control over writing, suggesting key areas where metacognitive intervention may be promising.","container-title":"Written Communication","DOI":"10.1177/0741088320984796","ISSN":"0741-0883, 1552-8472","issue":"2","journalAbbreviation":"Written Communication","language":"en","page":"167-207","source":"DOI.org (Crossref)","title":"Searching for Metacognitive Generalities: Areas of Convergence in Learning to Write for Publication Across Doctoral Students in Science and Engineering","title-short":"Searching for Metacognitive Generalities","volume":"38","author":[{"family":"Negretti","given":"Raffaella"}],"issued":{"date-parts":[["2021",4]]}}},{"id":18642,"uris":["http://zotero.org/users/14842315/items/ZP2YW6DQ"],"itemData":{"id":18642,"type":"article-journal","abstract":"Computational Science and Engineering (CS&amp;E) is a relatively new discipline for which no consensus exists on how classes should best be taught. Many CS&amp;E courses are compressed add-ons to existing programs and, consequently, must cover a breadth of topics encompassing modules from mathematics, statistics, computer science, and application disciplines. Additionally, these courses would benefit from embedded 21st century skills, including problem-solving, critical thinking, and lifelong learning behaviors, but such skills are often neglected in course design even though the education and workforce literature are clear about their importance for future careers. The breadth and complexity in course design necessary to incorporate all of these components create a challenge for instructors and students. In this interpretive study, we investigate student experiences and perceived outcomes in a technology-mediated graduate-level CS&amp;E course designed to address the difficulties associated with this wide range of disciplinary topics and professional skills. Our course design is based on reflective practice and principles of metacognition, and applies elements such as a flipped classroom, student journals, and reflective writing exercises; these design goals directly support students’ metacognition and foster self-regulated learning behaviors that, in turn, develop critical thinking and problem-solving abilities. We evaluate this design using student reflective writing and surveys. Results indicate reflective writing activities in course design helped develop students’ metacognitive awareness, self-regulated learning behaviors, problemsolving, and critical thinking skills. This course design can serve as a template for others teaching technologymediated courses in CS&amp;E and related areas, and aiming to develop students’ 21st century professional skills.","container-title":"Computers and Education Open","DOI":"10.1016/j.caeo.2022.100085","ISSN":"26665573","journalAbbreviation":"Computers and Education Open","language":"en","page":"100085","source":"DOI.org (Crossref)","title":"Reflective Writing Supports Metacognition and Self-regulation in Graduate Computational Science and Engineering","volume":"3","author":[{"family":"Zarestky","given":"Jill"},{"family":"Bigler","given":"Michelle"},{"family":"Brazile","given":"Mollie"},{"family":"Lopes","given":"Tobin"},{"family":"Bangerth","given":"Wolfgang"}],"issued":{"date-parts":[["2022",12]]}}}],"schema":"https://github.com/citation-style-language/schema/raw/master/csl-citation.json"} </w:instrText>
      </w:r>
      <w:r w:rsidR="000B49C0" w:rsidRPr="000704FD">
        <w:rPr>
          <w:rFonts w:ascii="Times New Roman" w:hAnsi="Times New Roman" w:cs="Times New Roman"/>
        </w:rPr>
        <w:fldChar w:fldCharType="separate"/>
      </w:r>
      <w:r w:rsidR="000B49C0" w:rsidRPr="000704FD">
        <w:rPr>
          <w:rFonts w:ascii="Times New Roman" w:hAnsi="Times New Roman" w:cs="Times New Roman"/>
        </w:rPr>
        <w:t>(Negretti, 2021; Zarestky et al., 2022)</w:t>
      </w:r>
      <w:r w:rsidR="000B49C0" w:rsidRPr="000704FD">
        <w:rPr>
          <w:rFonts w:ascii="Times New Roman" w:hAnsi="Times New Roman" w:cs="Times New Roman"/>
        </w:rPr>
        <w:fldChar w:fldCharType="end"/>
      </w:r>
      <w:r w:rsidR="000B49C0" w:rsidRPr="000704FD">
        <w:rPr>
          <w:rFonts w:ascii="Times New Roman" w:hAnsi="Times New Roman" w:cs="Times New Roman"/>
        </w:rPr>
        <w:t xml:space="preserve">. </w:t>
      </w:r>
      <w:r w:rsidRPr="000704FD">
        <w:rPr>
          <w:rFonts w:ascii="Times New Roman" w:hAnsi="Times New Roman" w:cs="Times New Roman"/>
        </w:rPr>
        <w:t xml:space="preserve">AI did not introduce this work but </w:t>
      </w:r>
      <w:proofErr w:type="gramStart"/>
      <w:r w:rsidRPr="000704FD">
        <w:rPr>
          <w:rFonts w:ascii="Times New Roman" w:hAnsi="Times New Roman" w:cs="Times New Roman"/>
        </w:rPr>
        <w:t>entered into</w:t>
      </w:r>
      <w:proofErr w:type="gramEnd"/>
      <w:r w:rsidRPr="000704FD">
        <w:rPr>
          <w:rFonts w:ascii="Times New Roman" w:hAnsi="Times New Roman" w:cs="Times New Roman"/>
        </w:rPr>
        <w:t xml:space="preserve"> and reshaped an already metacognitively demanding learning environment.</w:t>
      </w:r>
    </w:p>
    <w:p w14:paraId="48098C50" w14:textId="77777777" w:rsidR="009746EF" w:rsidRDefault="00724F13" w:rsidP="000704FD">
      <w:pPr>
        <w:spacing w:line="240" w:lineRule="auto"/>
        <w:ind w:firstLine="720"/>
        <w:rPr>
          <w:rFonts w:ascii="Times New Roman" w:hAnsi="Times New Roman" w:cs="Times New Roman"/>
        </w:rPr>
      </w:pPr>
      <w:r w:rsidRPr="000704FD">
        <w:rPr>
          <w:rFonts w:ascii="Times New Roman" w:hAnsi="Times New Roman" w:cs="Times New Roman"/>
        </w:rPr>
        <w:t xml:space="preserve">Students’ affective experiences further shaped how they interpreted AI. Engagement elicited reassurance, confidence, frustration, and hesitation. Reassurance emerged when AI outputs aligned with students’ work and when students were able to identify omissions or errors, reinforcing competence through critique. Confidence developed as students integrated course concepts into AI interactions and became more comfortable prompting and evaluating responses. Frustration and hesitation arose in response to inaccuracies, shallow synthesis, and perceived limits of AI reasoning. </w:t>
      </w:r>
    </w:p>
    <w:p w14:paraId="4F118A91" w14:textId="566050D3" w:rsidR="008B2A7D" w:rsidRPr="000704FD" w:rsidRDefault="00724F13" w:rsidP="000704FD">
      <w:pPr>
        <w:spacing w:line="240" w:lineRule="auto"/>
        <w:ind w:firstLine="720"/>
        <w:rPr>
          <w:rFonts w:ascii="Times New Roman" w:hAnsi="Times New Roman" w:cs="Times New Roman"/>
        </w:rPr>
      </w:pPr>
      <w:r w:rsidRPr="000704FD">
        <w:rPr>
          <w:rFonts w:ascii="Times New Roman" w:hAnsi="Times New Roman" w:cs="Times New Roman"/>
        </w:rPr>
        <w:t>Over time, these experiences converged into what students described as “curious mistrust,” reflecting a combination of motivation and skepticism. Emotions functioned as signals that guided judgment, boundary-setting, and regulation of engagement. This aligns with research suggesting that engagement with AI is shaped not only by cognitive utility but also by perceptions of risk, trust, and legitimacy</w:t>
      </w:r>
      <w:r w:rsidR="004B3F5C" w:rsidRPr="000704FD">
        <w:rPr>
          <w:rFonts w:ascii="Times New Roman" w:hAnsi="Times New Roman" w:cs="Times New Roman"/>
        </w:rPr>
        <w:t xml:space="preserve"> </w:t>
      </w:r>
      <w:r w:rsidR="004B3F5C" w:rsidRPr="000704FD">
        <w:rPr>
          <w:rFonts w:ascii="Times New Roman" w:hAnsi="Times New Roman" w:cs="Times New Roman"/>
        </w:rPr>
        <w:fldChar w:fldCharType="begin"/>
      </w:r>
      <w:r w:rsidR="004B3F5C" w:rsidRPr="000704FD">
        <w:rPr>
          <w:rFonts w:ascii="Times New Roman" w:hAnsi="Times New Roman" w:cs="Times New Roman"/>
        </w:rPr>
        <w:instrText xml:space="preserve"> ADDIN ZOTERO_ITEM CSL_CITATION {"citationID":"psMZBtmc","properties":{"formattedCitation":"(Mishra &amp; Varshney, 2024)","plainCitation":"(Mishra &amp; Varshney, 2024)","noteIndex":0},"citationItems":[{"id":16766,"uris":["http://zotero.org/users/14842315/items/AYCBUAEU"],"itemData":{"id":16766,"type":"article-journal","abstract":"The study surveyed faculty across various disciplines and experience levels using a mixed-method approach, showing significant insights into their perceptions, methods, and challenges towards Academic Integrity. The findings indicate a high awareness of academic dishonesty, with most university students reportedly engaging in such acts. Faculty employ diverse strategies to combat academic dishonesty, including syllabus integrity expectations, ethical dialogues, and varied assessment formats. However, challenges like the influence of the digital environment, online learning issues, and student pressure persist. The study highlights the need for institutional policies and faculty development programs emphasizing ethical conduct and practical engagement in academic integrity. Recommendations include enhancing syllabus communication, engaging in ethical dialogues, and using varied assessment formats and teaching learning method along with the modification in pedagogies. The study aligns with Aristotle's virtue ethics, advocating for the development of moral virtues through practical engagements. Key findings highlight the role of Ethical Artificial Intelligence (AI) literacy in addressing Artificial Intelligence (AI)driven academic dishonesty, suggesting the importance of Artificial Intelligence (AI) monitoring tools and Ethical Education.","container-title":"International Journal of All Research Education and Scientific Methods","issue":"4","language":"en","source":"Zotero","title":"Academic Integrity in Higher Education: Faculty Perceptions, Strategies, and Digital Challenges in the Digital Age","volume":"12","author":[{"family":"Mishra","given":"Dr Rashmi"},{"family":"Varshney","given":"Deepika"}],"issued":{"date-parts":[["2024"]]}}}],"schema":"https://github.com/citation-style-language/schema/raw/master/csl-citation.json"} </w:instrText>
      </w:r>
      <w:r w:rsidR="004B3F5C" w:rsidRPr="000704FD">
        <w:rPr>
          <w:rFonts w:ascii="Times New Roman" w:hAnsi="Times New Roman" w:cs="Times New Roman"/>
        </w:rPr>
        <w:fldChar w:fldCharType="separate"/>
      </w:r>
      <w:r w:rsidR="004B3F5C" w:rsidRPr="000704FD">
        <w:rPr>
          <w:rFonts w:ascii="Times New Roman" w:hAnsi="Times New Roman" w:cs="Times New Roman"/>
        </w:rPr>
        <w:t>(Mishra &amp; Varshney, 2024)</w:t>
      </w:r>
      <w:r w:rsidR="004B3F5C" w:rsidRPr="000704FD">
        <w:rPr>
          <w:rFonts w:ascii="Times New Roman" w:hAnsi="Times New Roman" w:cs="Times New Roman"/>
        </w:rPr>
        <w:fldChar w:fldCharType="end"/>
      </w:r>
      <w:r w:rsidR="004B3F5C" w:rsidRPr="000704FD">
        <w:rPr>
          <w:rFonts w:ascii="Times New Roman" w:hAnsi="Times New Roman" w:cs="Times New Roman"/>
        </w:rPr>
        <w:t xml:space="preserve">. </w:t>
      </w:r>
      <w:r w:rsidR="008B2A7D" w:rsidRPr="000704FD">
        <w:rPr>
          <w:rFonts w:ascii="Times New Roman" w:hAnsi="Times New Roman" w:cs="Times New Roman"/>
        </w:rPr>
        <w:t xml:space="preserve">It is also consistent with work on graduate learning that positions affect as central to sustained self-regulation in complex academic work </w:t>
      </w:r>
      <w:r w:rsidR="008320FD" w:rsidRPr="000704FD">
        <w:rPr>
          <w:rFonts w:ascii="Times New Roman" w:hAnsi="Times New Roman" w:cs="Times New Roman"/>
        </w:rPr>
        <w:fldChar w:fldCharType="begin"/>
      </w:r>
      <w:r w:rsidR="008320FD" w:rsidRPr="000704FD">
        <w:rPr>
          <w:rFonts w:ascii="Times New Roman" w:hAnsi="Times New Roman" w:cs="Times New Roman"/>
        </w:rPr>
        <w:instrText xml:space="preserve"> ADDIN ZOTERO_ITEM CSL_CITATION {"citationID":"WrSobw02","properties":{"formattedCitation":"(Cantwell et al., 2012, 2017)","plainCitation":"(Cantwell et al., 2012, 2017)","noteIndex":0},"citationItems":[{"id":18633,"uris":["http://zotero.org/users/14842315/items/ZNZDUDYL"],"itemData":{"id":18633,"type":"chapter","abstract":"This chapter addresses issues relating to quality learning in the specific context of doctoral study. As the elite level of formal education, doctoral study places a high level of expectation on candidates to contribute in an important and original way to the field of study. This expectation imposes a high metacognitive load on students, in appropriately conceptualising the task, and in managing the intellectual, affective, and contingency demands that accompany its enactment. We suggest that the regulatory control behaviours of doctoral candidates may best be explained by reference to a broader conception of metacognitive knowledge than has traditionally been employed. We conclude that the sources of regulatory activity are multi-dimensional, and describe them in terms of an active multidimensional epistemic metacognitive framework that establishes the parameters of subsequent regulatory activity.","container-title":"Enhancing the Quality of Learning","DOI":"10.1017/CBO9781139048224.007","edition":"1","ISBN":"978-1-139-04822-4","language":"en","page":"93-114","publisher":"Cambridge University Press","source":"DOI.org (Crossref)","title":"Individual Differences That Affect the Quality of Learning in Doctoral Candidates","URL":"https://www.cambridge.org/core/product/identifier/9781139048224%23c19942-5-1/type/book_part","editor":[{"family":"Kirby","given":"John R."},{"family":"Lawson","given":"Michael J."}],"author":[{"family":"Cantwell","given":"Robert H."},{"family":"Scevak","given":"Jill J."},{"family":"Bourke","given":"Sid"},{"family":"Holbrook","given":"Allyson"}],"accessed":{"date-parts":[["2026",4,2]]},"issued":{"date-parts":[["2012",5,21]]}}},{"id":18653,"uris":["http://zotero.org/users/14842315/items/LE6BDNQ7"],"itemData":{"id":18653,"type":"article-journal","container-title":"Studies in Higher Education","DOI":"10.1080/03075079.2015.1034263","ISSN":"0307-5079, 1470-174X","issue":"1","journalAbbreviation":"Studies in Higher Education","language":"en","page":"47-64","source":"DOI.org (Crossref)","title":"Doctoral candidates as learners: a study of individual differences in responses to learning and its management","title-short":"Doctoral candidates as learners","volume":"42","author":[{"family":"Cantwell","given":"Robert H."},{"family":"Bourke","given":"Sid F."},{"family":"Scevak","given":"Jill J."},{"family":"Holbrook","given":"Allyson P."},{"family":"Budd","given":"Janene"}],"issued":{"date-parts":[["2017",1,2]]}}}],"schema":"https://github.com/citation-style-language/schema/raw/master/csl-citation.json"} </w:instrText>
      </w:r>
      <w:r w:rsidR="008320FD" w:rsidRPr="000704FD">
        <w:rPr>
          <w:rFonts w:ascii="Times New Roman" w:hAnsi="Times New Roman" w:cs="Times New Roman"/>
        </w:rPr>
        <w:fldChar w:fldCharType="separate"/>
      </w:r>
      <w:r w:rsidR="008320FD" w:rsidRPr="000704FD">
        <w:rPr>
          <w:rFonts w:ascii="Times New Roman" w:hAnsi="Times New Roman" w:cs="Times New Roman"/>
        </w:rPr>
        <w:t>(Cantwell et al., 2012, 2017)</w:t>
      </w:r>
      <w:r w:rsidR="008320FD" w:rsidRPr="000704FD">
        <w:rPr>
          <w:rFonts w:ascii="Times New Roman" w:hAnsi="Times New Roman" w:cs="Times New Roman"/>
        </w:rPr>
        <w:fldChar w:fldCharType="end"/>
      </w:r>
      <w:r w:rsidR="008B2A7D" w:rsidRPr="000704FD">
        <w:rPr>
          <w:rFonts w:ascii="Times New Roman" w:hAnsi="Times New Roman" w:cs="Times New Roman"/>
        </w:rPr>
        <w:t xml:space="preserve">, and with emerging research showing that AI can serve a quiet emotional role by providing reassurance and low-stakes support during uncertainty while remaining entangled with questions of trust and appropriate use </w:t>
      </w:r>
      <w:r w:rsidR="008B2A7D" w:rsidRPr="000704FD">
        <w:rPr>
          <w:rFonts w:ascii="Times New Roman" w:hAnsi="Times New Roman" w:cs="Times New Roman"/>
        </w:rPr>
        <w:fldChar w:fldCharType="begin"/>
      </w:r>
      <w:r w:rsidR="008B2A7D" w:rsidRPr="000704FD">
        <w:rPr>
          <w:rFonts w:ascii="Times New Roman" w:hAnsi="Times New Roman" w:cs="Times New Roman"/>
        </w:rPr>
        <w:instrText xml:space="preserve"> ADDIN ZOTERO_ITEM CSL_CITATION {"citationID":"gomigLrk","properties":{"formattedCitation":"(Boyd &amp; Harding, 2025; Zgambo et al., 2025)","plainCitation":"(Boyd &amp; Harding, 2025; Zgambo et al., 2025)","noteIndex":0},"citationItems":[{"id":18645,"uris":["http://zotero.org/users/14842315/items/IBXKGLJI"],"itemData":{"id":18645,"type":"article-journal","abstract":"The uptake of generative artificial intelligence (GenAI) tools has implications for doctoral research and academic publication practices within both construction management and the wider academic context. Unless these implications are understood, GenAI tools have the potential to disrupt traditional relationships between doctoral researchers and their academic supervisors. Rather than exploring the technical competence and reach of GenAI tools, this study explores the nature of these challenges. GenAI is explored from both supervisor and doctoral perspectives for how its integration into doctoral research processes might shift relationships and affect practice. Informed by structuration theory, the research uses mixed methods to map shifts in agency and structure resulting from the adoption of GenAI tools. Findings highlight that the often-unacknowledged use of GenAI in doctoral research can confer undue agency on the technology that disrupts traditional relationships in an unacknowledged way. The rapid but often unacknowledged uptake of GenAI within doctoral research comes with a lack of consideration of the emotional support ascribed by students to the technology. It is concluded that GenAI tools should be openly incorporated into research and practice in a transparent, integrated approach.","container-title":"Buildings &amp; Cities","DOI":"10.5334/bc.560","ISSN":"2632-6655","issue":"1","journalAbbreviation":"B&amp;C","language":"en","license":"https://creativecommons.org/licenses/by/4.0","source":"DOI.org (Crossref)","title":"Generative AI: reconfiguring supervision and doctoral research","title-short":"Generative AI","URL":"https://account.journal-buildingscities.org/index.php/up-j-bc/article/view/560","volume":"6","author":[{"family":"Boyd","given":"Philippa"},{"family":"Harding","given":"Debs"}],"accessed":{"date-parts":[["2026",4,2]]},"issued":{"date-parts":[["2025",6,19]]}}},{"id":16764,"uris":["http://zotero.org/users/14842315/items/LEQ4SD3A"],"itemData":{"id":16764,"type":"article-journal","abstract":"Background: The rise of artificial intelligence (AI) use in higher education has generated substantial debate among academics and students, given the potential for students to engage in academic misconduct through the misuse of AI. Academics argue that AI poses a serious threat to the foundational development of nurses through the questionable integrity of AI-generated academic work and by undermining the development of critical thinking skills essential for professional practice. However, there is limited research on nursing students’ integration of AI technologies in their studies.\nMethod: This study utilised a convergent parallel mixed methods approach to develop a multiphase approach with convergent parallel techniques for the qualitative and quantitative phases. The quantitative method utilised a Qualtrics-powered online survey to engage 188 nursing students, exploring various domains related to AI use. In the qualitative phase, in-depth interviews with 13 purposively sampled students provided deeper insights. The qualitative data were analysed using an inductive thematic analysis approach, while the quantitative data were analysed using SPSS.\nResult: In the survey, 24 % of respondents reported using AI, ranging from moderate to extensive usage. In logistics regression analysis, hearing about AI (OR = 3.9; CI 1.07–10.2; p &lt; 0.05), the belief that AI was useful in the studies (OR = 5.5; CI 1.7–17.3; p &lt; 0.01), and the perception that learning to use AI is easy (OR = 3.4; CI 1.1–11.1; p &lt; 0.05) predicted AI use. Qualitative findings revealed that all students used AI for various academic purposes. The ‘fascinating’, ‘intelligent’ and ‘efficient’ nature of AI in handling ‘time-consuming’ academic tasks motivated its use. However, concerns about breaching academic integrity and the value of achieving success through personal effort served as deterrents.\nConclusion: The findings suggest that while AI’s efficiency drives students to adopt it, they remain cautious about its ethical implications, leading to uncertainty in its application within academic practices. This highlights the critical need for institutional support and explicit guidelines on responsible AI integration in educational settings.","container-title":"Nurse Education Today","DOI":"10.1016/j.nedt.2025.106796","ISSN":"02606917","journalAbbreviation":"Nurse Education Today","language":"en","page":"106796","source":"DOI.org (Crossref)","title":"Artificial intelligence and academic integrity in nursing education: A mixed methods study on usage, perceptions, and institutional implications","title-short":"Artificial intelligence and academic integrity in nursing education","volume":"153","author":[{"family":"Zgambo","given":"Maggie"},{"family":"Costello","given":"Martina"},{"family":"Buhlmann","given":"Melanie"},{"family":"Maldon","given":"Justine"},{"family":"Anyango","given":"Edah"},{"family":"Adama","given":"Esther"}],"issued":{"date-parts":[["2025",10]]}}}],"schema":"https://github.com/citation-style-language/schema/raw/master/csl-citation.json"} </w:instrText>
      </w:r>
      <w:r w:rsidR="008B2A7D" w:rsidRPr="000704FD">
        <w:rPr>
          <w:rFonts w:ascii="Times New Roman" w:hAnsi="Times New Roman" w:cs="Times New Roman"/>
        </w:rPr>
        <w:fldChar w:fldCharType="separate"/>
      </w:r>
      <w:r w:rsidR="008B2A7D" w:rsidRPr="000704FD">
        <w:rPr>
          <w:rFonts w:ascii="Times New Roman" w:hAnsi="Times New Roman" w:cs="Times New Roman"/>
        </w:rPr>
        <w:t>(Boyd &amp; Harding, 2025; Zgambo et al., 2025)</w:t>
      </w:r>
      <w:r w:rsidR="008B2A7D" w:rsidRPr="000704FD">
        <w:rPr>
          <w:rFonts w:ascii="Times New Roman" w:hAnsi="Times New Roman" w:cs="Times New Roman"/>
        </w:rPr>
        <w:fldChar w:fldCharType="end"/>
      </w:r>
      <w:r w:rsidR="008B2A7D" w:rsidRPr="000704FD">
        <w:rPr>
          <w:rFonts w:ascii="Times New Roman" w:hAnsi="Times New Roman" w:cs="Times New Roman"/>
        </w:rPr>
        <w:t xml:space="preserve">. </w:t>
      </w:r>
    </w:p>
    <w:p w14:paraId="5B4E6358" w14:textId="7BF06C1F" w:rsidR="00C43798" w:rsidRPr="000704FD" w:rsidRDefault="00472F97" w:rsidP="000704FD">
      <w:pPr>
        <w:spacing w:line="240" w:lineRule="auto"/>
        <w:ind w:firstLine="720"/>
        <w:rPr>
          <w:rFonts w:ascii="Times New Roman" w:hAnsi="Times New Roman" w:cs="Times New Roman"/>
        </w:rPr>
      </w:pPr>
      <w:r w:rsidRPr="000704FD">
        <w:rPr>
          <w:rFonts w:ascii="Times New Roman" w:hAnsi="Times New Roman" w:cs="Times New Roman"/>
        </w:rPr>
        <w:t xml:space="preserve">Two contextual conditions within the instructional lifeworld shaped how students interpreted AI-supported learning. The first was instructor openness toward AI use. Instructor modeling and transparency signaled permission to explore while maintaining responsibility for judgment. Because instructors were also participants in the same instructional context, their positioning shaped how norms around AI were experienced. This aligns with arguments that students require not only technical exposure but pedagogical support for working with AI as a black box within socially bounded practices </w:t>
      </w:r>
      <w:r w:rsidR="000B1E9B" w:rsidRPr="000704FD">
        <w:rPr>
          <w:rFonts w:ascii="Times New Roman" w:hAnsi="Times New Roman" w:cs="Times New Roman"/>
        </w:rPr>
        <w:fldChar w:fldCharType="begin"/>
      </w:r>
      <w:r w:rsidR="000B1E9B" w:rsidRPr="000704FD">
        <w:rPr>
          <w:rFonts w:ascii="Times New Roman" w:hAnsi="Times New Roman" w:cs="Times New Roman"/>
        </w:rPr>
        <w:instrText xml:space="preserve"> ADDIN ZOTERO_ITEM CSL_CITATION {"citationID":"TsgeM8Za","properties":{"formattedCitation":"(Bearman &amp; Ajjawi, 2023)","plainCitation":"(Bearman &amp; Ajjawi, 2023)","noteIndex":0},"citationItems":[{"id":16778,"uris":["http://zotero.org/users/14842315/items/WUT62Y6Y"],"itemData":{"id":16778,"type":"article-journal","abstract":"Artificial intelligence (AI) is increasingly integrating into our society. University education needs to maintain its relevance in an AI-mediated world, but the higher education sector is only beginning to engage deeply with the implications of AI within society. We define AI according to a relational epistemology, where, in the context of a particular interaction, a computational artefact provides a judgement about an optimal course of action and that this judgement cannot be traced. Therefore, by definition, AI must always act as a ‘black box’. Rather than seeking to explain ‘black boxes’, we argue that a pedagogy for an AI-mediated world involves learning to work with opaque, partial and ambiguous situations, which reflect the entangled relationships between people and technologies. Such a pedagogy asks learners locate AI as socially bounded, where AI is always understood within the contexts of its use. We outline two particular approaches to achieve this: (a) orienting students to quality standards that surround AIs, what might be called the tacit and explicit ‘rules of the game’; and (b) providing meaningful interactions with AI systems.","container-title":"British Journal of Educational Technology","DOI":"10.1111/bjet.13337","ISSN":"0007-1013, 1467-8535","issue":"5","journalAbbreviation":"Brit J Educational Tech","language":"en","page":"1160-1173","source":"DOI.org (Crossref)","title":"Learning to work with the black box: Pedagogy for a world with artificial intelligence","title-short":"Learning to work with the black box","volume":"54","author":[{"family":"Bearman","given":"Margaret"},{"family":"Ajjawi","given":"Rola"}],"issued":{"date-parts":[["2023",9]]}}}],"schema":"https://github.com/citation-style-language/schema/raw/master/csl-citation.json"} </w:instrText>
      </w:r>
      <w:r w:rsidR="000B1E9B" w:rsidRPr="000704FD">
        <w:rPr>
          <w:rFonts w:ascii="Times New Roman" w:hAnsi="Times New Roman" w:cs="Times New Roman"/>
        </w:rPr>
        <w:fldChar w:fldCharType="separate"/>
      </w:r>
      <w:r w:rsidR="000B1E9B" w:rsidRPr="000704FD">
        <w:rPr>
          <w:rFonts w:ascii="Times New Roman" w:hAnsi="Times New Roman" w:cs="Times New Roman"/>
        </w:rPr>
        <w:t>(Bearman &amp; Ajjawi, 2023)</w:t>
      </w:r>
      <w:r w:rsidR="000B1E9B" w:rsidRPr="000704FD">
        <w:rPr>
          <w:rFonts w:ascii="Times New Roman" w:hAnsi="Times New Roman" w:cs="Times New Roman"/>
        </w:rPr>
        <w:fldChar w:fldCharType="end"/>
      </w:r>
      <w:r w:rsidR="000B1E9B" w:rsidRPr="000704FD">
        <w:rPr>
          <w:rFonts w:ascii="Times New Roman" w:hAnsi="Times New Roman" w:cs="Times New Roman"/>
        </w:rPr>
        <w:t xml:space="preserve">. </w:t>
      </w:r>
      <w:r w:rsidRPr="000704FD">
        <w:rPr>
          <w:rFonts w:ascii="Times New Roman" w:hAnsi="Times New Roman" w:cs="Times New Roman"/>
        </w:rPr>
        <w:t xml:space="preserve">The second condition involved peer collaboration. Norms of shared experimentation and critique positioned AI engagement as a collective activity. Through peer interaction, uncertainty, trial and error, and evaluation became visible and shared, reducing individual risk and supporting sustained engagement. This echoes research on graduate learning environments that highlights the role of </w:t>
      </w:r>
      <w:r w:rsidRPr="000704FD">
        <w:rPr>
          <w:rFonts w:ascii="Times New Roman" w:hAnsi="Times New Roman" w:cs="Times New Roman"/>
        </w:rPr>
        <w:lastRenderedPageBreak/>
        <w:t>peer support and shared reflection in helping students regulate complex work</w:t>
      </w:r>
      <w:r w:rsidR="00B50959" w:rsidRPr="000704FD">
        <w:rPr>
          <w:rFonts w:ascii="Times New Roman" w:hAnsi="Times New Roman" w:cs="Times New Roman"/>
        </w:rPr>
        <w:t xml:space="preserve"> </w:t>
      </w:r>
      <w:r w:rsidR="00B50959" w:rsidRPr="000704FD">
        <w:rPr>
          <w:rFonts w:ascii="Times New Roman" w:hAnsi="Times New Roman" w:cs="Times New Roman"/>
        </w:rPr>
        <w:fldChar w:fldCharType="begin"/>
      </w:r>
      <w:r w:rsidR="00B50959" w:rsidRPr="000704FD">
        <w:rPr>
          <w:rFonts w:ascii="Times New Roman" w:hAnsi="Times New Roman" w:cs="Times New Roman"/>
        </w:rPr>
        <w:instrText xml:space="preserve"> ADDIN ZOTERO_ITEM CSL_CITATION {"citationID":"iDK5vWQ2","properties":{"formattedCitation":"(Santelmann et al., 2018)","plainCitation":"(Santelmann et al., 2018)","noteIndex":0},"citationItems":[{"id":18656,"uris":["http://zotero.org/users/14842315/items/9ZGFHCJ8"],"itemData":{"id":18656,"type":"article-journal","abstract":"Proﬁciency in writing is crucial for success in graduate school. While doctoral student writing has received attention in the research literature, little research has focused on master’s student writing. Master’s students need to be skilled writers in their professional lives, and have the same if not greater need for writing instruction as other graduate students. When writing is taught in graduate school, the instruction often focuses on content and text, not on the writing context and process. Recent research on academic writing suggests the importance of focusing on the behaviors, motivations, and cognitions that surround student writing, especially metacognitive awareness and self-regulation of the writing processes. This qualitative case study examined MA TESOL students’ reactions to classroom activities designed to teach metacognitive awareness of writing strategies, self-regulation of writing practices, and text strategies. Data collected included surveys and students’ writing plans. Five themes emerged from the data analysis. Students beneﬁtted from: Increased metacognitive awareness of writing practices, the focus on the social support of writing, the opportunity to review peers’ papers, discussion of the stress points around writing, and instruction about the text structures underlying academic writing. Suggestions for application of instructional practices to other writing programs are included.","container-title":"College Teaching","DOI":"10.1080/87567555.2018.1446898","ISSN":"8756-7555, 1930-8299","issue":"3","journalAbbreviation":"College Teaching","language":"en","page":"111-123","source":"DOI.org (Crossref)","title":"Fostering Master's Students' Metacognition and Self-Regulation Practices for Research Writing","volume":"66","author":[{"family":"Santelmann","given":"Lynn M."},{"family":"Stevens","given":"Dannelle D."},{"family":"Martin","given":"Staci B."}],"issued":{"date-parts":[["2018",7,3]]}}}],"schema":"https://github.com/citation-style-language/schema/raw/master/csl-citation.json"} </w:instrText>
      </w:r>
      <w:r w:rsidR="00B50959" w:rsidRPr="000704FD">
        <w:rPr>
          <w:rFonts w:ascii="Times New Roman" w:hAnsi="Times New Roman" w:cs="Times New Roman"/>
        </w:rPr>
        <w:fldChar w:fldCharType="separate"/>
      </w:r>
      <w:r w:rsidR="00B50959" w:rsidRPr="000704FD">
        <w:rPr>
          <w:rFonts w:ascii="Times New Roman" w:hAnsi="Times New Roman" w:cs="Times New Roman"/>
        </w:rPr>
        <w:t>(Santelmann et al., 2018)</w:t>
      </w:r>
      <w:r w:rsidR="00B50959" w:rsidRPr="000704FD">
        <w:rPr>
          <w:rFonts w:ascii="Times New Roman" w:hAnsi="Times New Roman" w:cs="Times New Roman"/>
        </w:rPr>
        <w:fldChar w:fldCharType="end"/>
      </w:r>
      <w:r w:rsidR="00B50959" w:rsidRPr="000704FD">
        <w:rPr>
          <w:rFonts w:ascii="Times New Roman" w:hAnsi="Times New Roman" w:cs="Times New Roman"/>
        </w:rPr>
        <w:t xml:space="preserve">. </w:t>
      </w:r>
    </w:p>
    <w:p w14:paraId="1D175A8E" w14:textId="4A06166D" w:rsidR="00993899" w:rsidRPr="000704FD" w:rsidRDefault="00472F97" w:rsidP="000704FD">
      <w:pPr>
        <w:spacing w:line="240" w:lineRule="auto"/>
        <w:ind w:firstLine="720"/>
        <w:rPr>
          <w:rFonts w:ascii="Times New Roman" w:hAnsi="Times New Roman" w:cs="Times New Roman"/>
        </w:rPr>
      </w:pPr>
      <w:r w:rsidRPr="000704FD">
        <w:rPr>
          <w:rFonts w:ascii="Times New Roman" w:hAnsi="Times New Roman" w:cs="Times New Roman"/>
        </w:rPr>
        <w:t>Taken together, these findings suggest that students’ experiences with AI were shaped less by the technology itself than by the interpretive conditions under which it was encountered. Course culture, instructional modeling, metacognitive engagement, affective experience, and peer interaction formed a lifeworld in which AI was understood as both supportive and limited. From a hermeneutic perspective, these understandings developed through situated engagement over time rather than remaining fixed. AI use became a site where learning, judgment, and identity were negotiated rather than resolved. Accordingly, AI in graduate education is best understood not as a tool to be adopted or resisted, but as a situated interpretive partner whose value emerges through the interaction of instructional design, learner judgment, and evolving academic norms</w:t>
      </w:r>
      <w:r w:rsidR="00AD4E77" w:rsidRPr="000704FD">
        <w:rPr>
          <w:rFonts w:ascii="Times New Roman" w:hAnsi="Times New Roman" w:cs="Times New Roman"/>
        </w:rPr>
        <w:t>.</w:t>
      </w:r>
      <w:r w:rsidR="001B215D" w:rsidRPr="000704FD">
        <w:rPr>
          <w:rFonts w:ascii="Times New Roman" w:hAnsi="Times New Roman" w:cs="Times New Roman"/>
        </w:rPr>
        <w:t xml:space="preserve"> </w:t>
      </w:r>
      <w:r w:rsidR="0005076D" w:rsidRPr="000704FD">
        <w:rPr>
          <w:rFonts w:ascii="Times New Roman" w:hAnsi="Times New Roman" w:cs="Times New Roman"/>
        </w:rPr>
        <w:t xml:space="preserve"> </w:t>
      </w:r>
      <w:r w:rsidR="00235BAE" w:rsidRPr="000704FD">
        <w:rPr>
          <w:rFonts w:ascii="Times New Roman" w:hAnsi="Times New Roman" w:cs="Times New Roman"/>
        </w:rPr>
        <w:t xml:space="preserve"> </w:t>
      </w:r>
      <w:r w:rsidR="004402B1" w:rsidRPr="000704FD">
        <w:rPr>
          <w:rFonts w:ascii="Times New Roman" w:hAnsi="Times New Roman" w:cs="Times New Roman"/>
        </w:rPr>
        <w:t xml:space="preserve"> </w:t>
      </w:r>
      <w:r w:rsidR="00984AD3" w:rsidRPr="000704FD">
        <w:rPr>
          <w:rFonts w:ascii="Times New Roman" w:hAnsi="Times New Roman" w:cs="Times New Roman"/>
        </w:rPr>
        <w:t xml:space="preserve"> </w:t>
      </w:r>
      <w:r w:rsidR="002E2F14" w:rsidRPr="000704FD">
        <w:rPr>
          <w:rFonts w:ascii="Times New Roman" w:hAnsi="Times New Roman" w:cs="Times New Roman"/>
        </w:rPr>
        <w:t xml:space="preserve"> </w:t>
      </w:r>
    </w:p>
    <w:p w14:paraId="23F9BEBF" w14:textId="77777777" w:rsidR="00993899" w:rsidRPr="000704FD" w:rsidRDefault="00993899" w:rsidP="000704FD">
      <w:pPr>
        <w:spacing w:line="240" w:lineRule="auto"/>
        <w:rPr>
          <w:rFonts w:ascii="Times New Roman" w:hAnsi="Times New Roman" w:cs="Times New Roman"/>
          <w:b/>
          <w:bCs/>
        </w:rPr>
      </w:pPr>
      <w:r w:rsidRPr="000704FD">
        <w:rPr>
          <w:rFonts w:ascii="Times New Roman" w:hAnsi="Times New Roman" w:cs="Times New Roman"/>
          <w:b/>
          <w:bCs/>
        </w:rPr>
        <w:t>Recommendations for Practice</w:t>
      </w:r>
    </w:p>
    <w:p w14:paraId="002BF18A" w14:textId="5F6A6E7E" w:rsidR="00704D14" w:rsidRPr="000704FD" w:rsidRDefault="006E700B" w:rsidP="000704FD">
      <w:pPr>
        <w:spacing w:line="240" w:lineRule="auto"/>
        <w:rPr>
          <w:rFonts w:ascii="Times New Roman" w:hAnsi="Times New Roman" w:cs="Times New Roman"/>
        </w:rPr>
      </w:pPr>
      <w:r w:rsidRPr="000704FD">
        <w:rPr>
          <w:rFonts w:ascii="Times New Roman" w:hAnsi="Times New Roman" w:cs="Times New Roman"/>
        </w:rPr>
        <w:tab/>
      </w:r>
      <w:r w:rsidR="00704D14" w:rsidRPr="000704FD">
        <w:rPr>
          <w:rFonts w:ascii="Times New Roman" w:hAnsi="Times New Roman" w:cs="Times New Roman"/>
        </w:rPr>
        <w:t>Because course culture and instructor modeling shaped students’ acceptance and use of AI, faculty should begin by examining their own beliefs, comfort, and learning needs prior to integration. Instructor positioning mattered; openness, transparency, and visible judgment influenced whether students interpreted AI as a legitimate learning support.</w:t>
      </w:r>
    </w:p>
    <w:p w14:paraId="6CE1B335" w14:textId="5606882E" w:rsidR="00993899" w:rsidRPr="000704FD" w:rsidRDefault="00704D14" w:rsidP="000704FD">
      <w:pPr>
        <w:spacing w:line="240" w:lineRule="auto"/>
        <w:ind w:firstLine="720"/>
        <w:rPr>
          <w:rFonts w:ascii="Times New Roman" w:hAnsi="Times New Roman" w:cs="Times New Roman"/>
        </w:rPr>
      </w:pPr>
      <w:r w:rsidRPr="000704FD">
        <w:rPr>
          <w:rFonts w:ascii="Times New Roman" w:hAnsi="Times New Roman" w:cs="Times New Roman"/>
        </w:rPr>
        <w:t xml:space="preserve">AI integration should be structured as provisional and open to critique rather than taken as inherently valid. This involves orienting students to evaluate AI outputs as context-bound judgments rather than transparent truths and to apply disciplinary standards when determining their usefulness </w:t>
      </w:r>
      <w:r w:rsidR="00FC2F4C" w:rsidRPr="000704FD">
        <w:rPr>
          <w:rFonts w:ascii="Times New Roman" w:hAnsi="Times New Roman" w:cs="Times New Roman"/>
        </w:rPr>
        <w:fldChar w:fldCharType="begin"/>
      </w:r>
      <w:r w:rsidR="00FC2F4C" w:rsidRPr="000704FD">
        <w:rPr>
          <w:rFonts w:ascii="Times New Roman" w:hAnsi="Times New Roman" w:cs="Times New Roman"/>
        </w:rPr>
        <w:instrText xml:space="preserve"> ADDIN ZOTERO_ITEM CSL_CITATION {"citationID":"kXlOLMS9","properties":{"formattedCitation":"(Bearman &amp; Ajjawi, 2023)","plainCitation":"(Bearman &amp; Ajjawi, 2023)","noteIndex":0},"citationItems":[{"id":16778,"uris":["http://zotero.org/users/14842315/items/WUT62Y6Y"],"itemData":{"id":16778,"type":"article-journal","abstract":"Artificial intelligence (AI) is increasingly integrating into our society. University education needs to maintain its relevance in an AI-mediated world, but the higher education sector is only beginning to engage deeply with the implications of AI within society. We define AI according to a relational epistemology, where, in the context of a particular interaction, a computational artefact provides a judgement about an optimal course of action and that this judgement cannot be traced. Therefore, by definition, AI must always act as a ‘black box’. Rather than seeking to explain ‘black boxes’, we argue that a pedagogy for an AI-mediated world involves learning to work with opaque, partial and ambiguous situations, which reflect the entangled relationships between people and technologies. Such a pedagogy asks learners locate AI as socially bounded, where AI is always understood within the contexts of its use. We outline two particular approaches to achieve this: (a) orienting students to quality standards that surround AIs, what might be called the tacit and explicit ‘rules of the game’; and (b) providing meaningful interactions with AI systems.","container-title":"British Journal of Educational Technology","DOI":"10.1111/bjet.13337","ISSN":"0007-1013, 1467-8535","issue":"5","journalAbbreviation":"Brit J Educational Tech","language":"en","page":"1160-1173","source":"DOI.org (Crossref)","title":"Learning to work with the black box: Pedagogy for a world with artificial intelligence","title-short":"Learning to work with the black box","volume":"54","author":[{"family":"Bearman","given":"Margaret"},{"family":"Ajjawi","given":"Rola"}],"issued":{"date-parts":[["2023",9]]}}}],"schema":"https://github.com/citation-style-language/schema/raw/master/csl-citation.json"} </w:instrText>
      </w:r>
      <w:r w:rsidR="00FC2F4C" w:rsidRPr="000704FD">
        <w:rPr>
          <w:rFonts w:ascii="Times New Roman" w:hAnsi="Times New Roman" w:cs="Times New Roman"/>
        </w:rPr>
        <w:fldChar w:fldCharType="separate"/>
      </w:r>
      <w:r w:rsidR="00FC2F4C" w:rsidRPr="000704FD">
        <w:rPr>
          <w:rFonts w:ascii="Times New Roman" w:hAnsi="Times New Roman" w:cs="Times New Roman"/>
        </w:rPr>
        <w:t>(Bearman &amp; Ajjawi, 2023)</w:t>
      </w:r>
      <w:r w:rsidR="00FC2F4C" w:rsidRPr="000704FD">
        <w:rPr>
          <w:rFonts w:ascii="Times New Roman" w:hAnsi="Times New Roman" w:cs="Times New Roman"/>
        </w:rPr>
        <w:fldChar w:fldCharType="end"/>
      </w:r>
      <w:r w:rsidR="00FC2F4C" w:rsidRPr="000704FD">
        <w:rPr>
          <w:rFonts w:ascii="Times New Roman" w:hAnsi="Times New Roman" w:cs="Times New Roman"/>
        </w:rPr>
        <w:t xml:space="preserve">. </w:t>
      </w:r>
      <w:r w:rsidRPr="000704FD">
        <w:rPr>
          <w:rFonts w:ascii="Times New Roman" w:hAnsi="Times New Roman" w:cs="Times New Roman"/>
        </w:rPr>
        <w:t xml:space="preserve">Establishing shared norms that position AI as a support for thinking, alongside explicit modeling of how to prompt, challenge, and verify outputs, can make uncertainty and critique visible within instruction. Structured reflective and metacognitive activities should be embedded to support students in articulating knowledge gaps, evaluating AI outputs, and attending to affective responses such as frustration, confidence, and hesitation. These practices can support the development of scholarly judgment and help students calibrate </w:t>
      </w:r>
      <w:proofErr w:type="gramStart"/>
      <w:r w:rsidRPr="000704FD">
        <w:rPr>
          <w:rFonts w:ascii="Times New Roman" w:hAnsi="Times New Roman" w:cs="Times New Roman"/>
        </w:rPr>
        <w:t>AI use</w:t>
      </w:r>
      <w:proofErr w:type="gramEnd"/>
      <w:r w:rsidRPr="000704FD">
        <w:rPr>
          <w:rFonts w:ascii="Times New Roman" w:hAnsi="Times New Roman" w:cs="Times New Roman"/>
        </w:rPr>
        <w:t xml:space="preserve"> over time</w:t>
      </w:r>
      <w:r w:rsidR="007C222C" w:rsidRPr="000704FD">
        <w:rPr>
          <w:rFonts w:ascii="Times New Roman" w:hAnsi="Times New Roman" w:cs="Times New Roman"/>
        </w:rPr>
        <w:t>.</w:t>
      </w:r>
    </w:p>
    <w:p w14:paraId="017BDCA3" w14:textId="77777777" w:rsidR="00993899" w:rsidRPr="000704FD" w:rsidRDefault="00993899" w:rsidP="000704FD">
      <w:pPr>
        <w:spacing w:line="240" w:lineRule="auto"/>
        <w:rPr>
          <w:rFonts w:ascii="Times New Roman" w:hAnsi="Times New Roman" w:cs="Times New Roman"/>
          <w:b/>
          <w:bCs/>
        </w:rPr>
      </w:pPr>
      <w:r w:rsidRPr="000704FD">
        <w:rPr>
          <w:rFonts w:ascii="Times New Roman" w:hAnsi="Times New Roman" w:cs="Times New Roman"/>
          <w:b/>
          <w:bCs/>
        </w:rPr>
        <w:t xml:space="preserve">Recommendations for Future Research </w:t>
      </w:r>
    </w:p>
    <w:p w14:paraId="11BE7E18" w14:textId="77777777" w:rsidR="006F4B77" w:rsidRDefault="00775166" w:rsidP="009746EF">
      <w:pPr>
        <w:spacing w:line="240" w:lineRule="auto"/>
        <w:rPr>
          <w:rFonts w:ascii="Times New Roman" w:hAnsi="Times New Roman" w:cs="Times New Roman"/>
        </w:rPr>
      </w:pPr>
      <w:r w:rsidRPr="000704FD">
        <w:rPr>
          <w:rFonts w:ascii="Times New Roman" w:hAnsi="Times New Roman" w:cs="Times New Roman"/>
        </w:rPr>
        <w:tab/>
      </w:r>
      <w:r w:rsidR="00C66F5B" w:rsidRPr="000704FD">
        <w:rPr>
          <w:rFonts w:ascii="Times New Roman" w:hAnsi="Times New Roman" w:cs="Times New Roman"/>
        </w:rPr>
        <w:t>Future research should examine how students interpret AI-supported learning across time, tasks, and contexts. Longitudinal qualitative designs are particularly well suited to tracing how judgment, affect, and ethical positioning evolve as familiarity with AI and perceived stakes increase. Additional work is needed to examine how instructional conditions, including modeling, reflective scaffolding, and peer interaction, shape metacognitive engagement with AI across disciplines and institutional settings.</w:t>
      </w:r>
      <w:r w:rsidR="000704FD">
        <w:rPr>
          <w:rFonts w:ascii="Times New Roman" w:hAnsi="Times New Roman" w:cs="Times New Roman"/>
        </w:rPr>
        <w:t xml:space="preserve"> </w:t>
      </w:r>
      <w:r w:rsidR="00C66F5B" w:rsidRPr="000704FD">
        <w:rPr>
          <w:rFonts w:ascii="Times New Roman" w:hAnsi="Times New Roman" w:cs="Times New Roman"/>
        </w:rPr>
        <w:t xml:space="preserve">Comparative studies may help clarify which contextual conditions most strongly influence whether AI is experienced as supportive, risky, or inappropriate in academic work. </w:t>
      </w:r>
    </w:p>
    <w:p w14:paraId="357ED39D" w14:textId="774CF895" w:rsidR="006417BF" w:rsidRDefault="00C66F5B" w:rsidP="00C60484">
      <w:pPr>
        <w:spacing w:line="240" w:lineRule="auto"/>
        <w:ind w:firstLine="720"/>
        <w:rPr>
          <w:rFonts w:ascii="Times New Roman" w:hAnsi="Times New Roman" w:cs="Times New Roman"/>
        </w:rPr>
      </w:pPr>
      <w:r w:rsidRPr="000704FD">
        <w:rPr>
          <w:rFonts w:ascii="Times New Roman" w:hAnsi="Times New Roman" w:cs="Times New Roman"/>
        </w:rPr>
        <w:t>Research should also examine how AI reshapes information-seeking practices, feedback use, and supervisory relationships in graduate education, including when AI functions as a source of calibration, hidden support, or emotional reassurance</w:t>
      </w:r>
      <w:r w:rsidR="00774C5F" w:rsidRPr="000704FD">
        <w:rPr>
          <w:rFonts w:ascii="Times New Roman" w:hAnsi="Times New Roman" w:cs="Times New Roman"/>
        </w:rPr>
        <w:t xml:space="preserve"> (</w:t>
      </w:r>
      <w:r w:rsidR="00774C5F" w:rsidRPr="000704FD">
        <w:rPr>
          <w:rFonts w:ascii="Times New Roman" w:hAnsi="Times New Roman" w:cs="Times New Roman"/>
        </w:rPr>
        <w:fldChar w:fldCharType="begin"/>
      </w:r>
      <w:r w:rsidR="00D170E5" w:rsidRPr="000704FD">
        <w:rPr>
          <w:rFonts w:ascii="Times New Roman" w:hAnsi="Times New Roman" w:cs="Times New Roman"/>
        </w:rPr>
        <w:instrText xml:space="preserve"> ADDIN ZOTERO_ITEM CSL_CITATION {"citationID":"zUYiZLlW","properties":{"formattedCitation":"(Boyd &amp; Harding, 2025; Chen &amp; Chen, 2025; Chowdhury &amp; Chowdhury, 2024)","plainCitation":"(Boyd &amp; Harding, 2025; Chen &amp; Chen, 2025; Chowdhury &amp; Chowdhury, 2024)","dontUpdate":true,"noteIndex":0},"citationItems":[{"id":18645,"uris":["http://zotero.org/users/14842315/items/IBXKGLJI"],"itemData":{"id":18645,"type":"article-journal","abstract":"The uptake of generative artificial intelligence (GenAI) tools has implications for doctoral research and academic publication practices within both construction management and the wider academic context. Unless these implications are understood, GenAI tools have the potential to disrupt traditional relationships between doctoral researchers and their academic supervisors. Rather than exploring the technical competence and reach of GenAI tools, this study explores the nature of these challenges. GenAI is explored from both supervisor and doctoral perspectives for how its integration into doctoral research processes might shift relationships and affect practice. Informed by structuration theory, the research uses mixed methods to map shifts in agency and structure resulting from the adoption of GenAI tools. Findings highlight that the often-unacknowledged use of GenAI in doctoral research can confer undue agency on the technology that disrupts traditional relationships in an unacknowledged way. The rapid but often unacknowledged uptake of GenAI within doctoral research comes with a lack of consideration of the emotional support ascribed by students to the technology. It is concluded that GenAI tools should be openly incorporated into research and practice in a transparent, integrated approach.","container-title":"Buildings &amp; Cities","DOI":"10.5334/bc.560","ISSN":"2632-6655","issue":"1","journalAbbreviation":"B&amp;C","language":"en","license":"https://creativecommons.org/licenses/by/4.0","source":"DOI.org (Crossref)","title":"Generative AI: reconfiguring supervision and doctoral research","title-short":"Generative AI","URL":"https://account.journal-buildingscities.org/index.php/up-j-bc/article/view/560","volume":"6","author":[{"family":"Boyd","given":"Philippa"},{"family":"Harding","given":"Debs"}],"accessed":{"date-parts":[["2026",4,2]]},"issued":{"date-parts":[["2025",6,19]]}}},{"id":18655,"uris":["http://zotero.org/users/14842315/items/PNVKSG2G"],"itemData":{"id":18655,"type":"article-journal","abstract":"With the rapid advancement of generative artificial intelligence, large language models (LLMs) have become increasingly integrated into education, particularly for automated formative feedback and writing assessment. This study introduces and evaluates an AI-driven intelligent feedback system aimed at promoting sustainable and inclusive practices in higher education. It does so by delivering cost-effective feedback in under-resourced contexts and adaptive guidance for diverse learners. The system is built on transformer-based models (BERT and RoBERTa) to support personalised writing evaluation and feedback generation. The system aims to improve students’ self-assessment accuracy (SAA), a critical factor for self-regulated learning, while addressing the challenge of delivering high-quality feedback efficiently in under-resourced contexts. A quasi-experimental design was employed to examine the effects of LLM-generated feedback (LLMF) on students’ SAA and to investigate how these effects vary by initial ability. Results indicated no significant group-level difference in posttest SAA between the experimental and control groups. More importantly, interaction analysis revealed a significant moderating effect of Initial Self-Assessment Accuracy (ISAA). Students with lower baseline accuracy benefited substantially from LLMF, while those with higher baseline SAA showed limited change. This compensatory effect highlights the potential of LLMF to reduce inequities in self-regulated learning. These findings demonstrate the potential of AI-driven feedback systems to cost-effectively reduce calibration gaps and foster metacognitive development. By embedding adaptive and personalised mechanisms, such systems advance educational equity and promote scalable personalised learning. They also contribute to the broader agenda of intelligent and sustainable education.","container-title":"Expert Systems","DOI":"10.1111/exsy.70184","ISSN":"0266-4720, 1468-0394","issue":"1","journalAbbreviation":"Expert Systems","language":"en","source":"DOI.org (Crossref)","title":"AI Driven Intelligent Feedback System for Enhancing Self‐Assessment Accuracy in Higher Education Writing","title-short":"&lt;span style=\"font-variant","URL":"https://onlinelibrary.wiley.com/doi/10.1111/exsy.70184","volume":"43","author":[{"family":"Chen","given":"Shih‐Yhe"},{"family":"Chen","given":"Wei‐Cheng"}],"accessed":{"date-parts":[["2026",4,2]]},"issued":{"date-parts":[["2025",10,12]]}}},{"id":6600,"uris":["http://zotero.org/users/14842315/items/6FESPJNW"],"itemData":{"id":6600,"type":"article-journal","abstract":"The article reports on an exploratory study that assesses the results produced by emerging artificial intelligence (AI)- and large language model-driven search tools in response to a series of queries and prompts based on four scenarios of information-intensive tasks of university students and researchers. Sixteen questions and prompts were created based on four scenarios of information-intensive tasks of university students. Each of these questions and prompts was presented to six AI-driven search tools, and the results were manually checked to assess their suitability for specific user needs and contexts. Based on the findings, it was argued that while the AIdriven tools bring a paradigm shift in information access for education and research, outputs generated by these tools vary quite significantly. Choice of the right tool, framing the question and further prompting play a key role. Also, users need to scrutinise each output to check their quality and reliability in the context of the specific search tasks. It was concluded that further research is needed involving different user groups, scenarios and search tasks and different AI-driven search tools. Implications of the use of AI-driven search tools for libraries and scholarly databases, as well as for research and scholarship in different areas of information science, are discussed.","container-title":"Journal of Information Science","DOI":"10.1177/01655515241284046","ISSN":"0165-5515, 1741-6485","journalAbbreviation":"Journal of Information Science","language":"en","page":"01655515241284046","source":"DOI.org (Crossref)","title":"AI- and LLM-driven search tools: A paradigm shift in information access for education and research","title-short":"AI- and LLM-driven search tools","author":[{"family":"Chowdhury","given":"Gobinda"},{"family":"Chowdhury","given":"Sudatta"}],"issued":{"date-parts":[["2024",10,30]]}}}],"schema":"https://github.com/citation-style-language/schema/raw/master/csl-citation.json"} </w:instrText>
      </w:r>
      <w:r w:rsidR="00774C5F" w:rsidRPr="000704FD">
        <w:rPr>
          <w:rFonts w:ascii="Times New Roman" w:hAnsi="Times New Roman" w:cs="Times New Roman"/>
        </w:rPr>
        <w:fldChar w:fldCharType="separate"/>
      </w:r>
      <w:r w:rsidR="001930DC" w:rsidRPr="000704FD">
        <w:rPr>
          <w:rFonts w:ascii="Times New Roman" w:hAnsi="Times New Roman" w:cs="Times New Roman"/>
        </w:rPr>
        <w:t>Boyd &amp; Harding, 2025; Chen &amp; Chen, 2025; Chowdhury &amp; Chowdhury, 2024)</w:t>
      </w:r>
      <w:r w:rsidR="00774C5F" w:rsidRPr="000704FD">
        <w:rPr>
          <w:rFonts w:ascii="Times New Roman" w:hAnsi="Times New Roman" w:cs="Times New Roman"/>
        </w:rPr>
        <w:fldChar w:fldCharType="end"/>
      </w:r>
      <w:r w:rsidR="001930DC" w:rsidRPr="000704FD">
        <w:rPr>
          <w:rFonts w:ascii="Times New Roman" w:hAnsi="Times New Roman" w:cs="Times New Roman"/>
        </w:rPr>
        <w:t xml:space="preserve">. </w:t>
      </w:r>
      <w:r w:rsidRPr="000704FD">
        <w:rPr>
          <w:rFonts w:ascii="Times New Roman" w:hAnsi="Times New Roman" w:cs="Times New Roman"/>
        </w:rPr>
        <w:t xml:space="preserve">Finally, attention to faculty perspectives is needed to understand how beliefs, expertise, and professional development shape the pedagogical integration of </w:t>
      </w:r>
      <w:r w:rsidR="009746EF">
        <w:rPr>
          <w:rFonts w:ascii="Times New Roman" w:hAnsi="Times New Roman" w:cs="Times New Roman"/>
        </w:rPr>
        <w:t>AI.</w:t>
      </w:r>
    </w:p>
    <w:p w14:paraId="7BDD01F5" w14:textId="77777777" w:rsidR="006F4B77" w:rsidRDefault="006F4B77" w:rsidP="00D16AAA">
      <w:pPr>
        <w:spacing w:after="0" w:line="240" w:lineRule="auto"/>
        <w:rPr>
          <w:rFonts w:ascii="Times New Roman" w:hAnsi="Times New Roman" w:cs="Times New Roman"/>
        </w:rPr>
      </w:pPr>
    </w:p>
    <w:p w14:paraId="577B4373" w14:textId="385991DD" w:rsidR="00D16AAA" w:rsidRDefault="00D16AAA" w:rsidP="00C953D7">
      <w:pPr>
        <w:spacing w:after="0" w:line="240" w:lineRule="auto"/>
        <w:jc w:val="center"/>
        <w:rPr>
          <w:rFonts w:ascii="Times New Roman" w:hAnsi="Times New Roman" w:cs="Times New Roman"/>
          <w:b/>
          <w:bCs/>
        </w:rPr>
      </w:pPr>
      <w:r w:rsidRPr="00D16AAA">
        <w:rPr>
          <w:rFonts w:ascii="Times New Roman" w:hAnsi="Times New Roman" w:cs="Times New Roman"/>
          <w:b/>
          <w:bCs/>
        </w:rPr>
        <w:t>References</w:t>
      </w:r>
    </w:p>
    <w:p w14:paraId="145557FF" w14:textId="77777777" w:rsidR="00D16AAA" w:rsidRPr="00D16AAA" w:rsidRDefault="00D16AAA" w:rsidP="00C953D7">
      <w:pPr>
        <w:spacing w:after="0" w:line="240" w:lineRule="auto"/>
        <w:jc w:val="center"/>
        <w:rPr>
          <w:rFonts w:ascii="Times New Roman" w:hAnsi="Times New Roman" w:cs="Times New Roman"/>
          <w:b/>
          <w:bCs/>
        </w:rPr>
      </w:pPr>
    </w:p>
    <w:p w14:paraId="34D88D70" w14:textId="77777777" w:rsidR="009746EF" w:rsidRPr="009746EF" w:rsidRDefault="00D16AAA" w:rsidP="00C953D7">
      <w:pPr>
        <w:pStyle w:val="Bibliography"/>
        <w:spacing w:line="240" w:lineRule="auto"/>
        <w:rPr>
          <w:rFonts w:ascii="Times New Roman" w:hAnsi="Times New Roman" w:cs="Times New Roman"/>
        </w:rPr>
      </w:pPr>
      <w:r>
        <w:fldChar w:fldCharType="begin"/>
      </w:r>
      <w:r w:rsidR="009746EF">
        <w:instrText xml:space="preserve"> ADDIN ZOTERO_BIBL {"uncited":[],"omitted":[],"custom":[]} CSL_BIBLIOGRAPHY </w:instrText>
      </w:r>
      <w:r>
        <w:fldChar w:fldCharType="separate"/>
      </w:r>
      <w:r w:rsidR="009746EF" w:rsidRPr="009746EF">
        <w:rPr>
          <w:rFonts w:ascii="Times New Roman" w:hAnsi="Times New Roman" w:cs="Times New Roman"/>
        </w:rPr>
        <w:t xml:space="preserve">Al-Zahrani, A. M., &amp; Alasmari, T. M. (2024). Exploring the impact of artificial intelligence on higher education: The dynamics of ethical, social, and educational implications. </w:t>
      </w:r>
      <w:r w:rsidR="009746EF" w:rsidRPr="009746EF">
        <w:rPr>
          <w:rFonts w:ascii="Times New Roman" w:hAnsi="Times New Roman" w:cs="Times New Roman"/>
          <w:i/>
          <w:iCs/>
        </w:rPr>
        <w:t>Humanities and Social Sciences Communications</w:t>
      </w:r>
      <w:r w:rsidR="009746EF" w:rsidRPr="009746EF">
        <w:rPr>
          <w:rFonts w:ascii="Times New Roman" w:hAnsi="Times New Roman" w:cs="Times New Roman"/>
        </w:rPr>
        <w:t xml:space="preserve">, </w:t>
      </w:r>
      <w:r w:rsidR="009746EF" w:rsidRPr="009746EF">
        <w:rPr>
          <w:rFonts w:ascii="Times New Roman" w:hAnsi="Times New Roman" w:cs="Times New Roman"/>
          <w:i/>
          <w:iCs/>
        </w:rPr>
        <w:t>11</w:t>
      </w:r>
      <w:r w:rsidR="009746EF" w:rsidRPr="009746EF">
        <w:rPr>
          <w:rFonts w:ascii="Times New Roman" w:hAnsi="Times New Roman" w:cs="Times New Roman"/>
        </w:rPr>
        <w:t>(1), 912. https://doi.org/10.1057/s41599-024-03432-4</w:t>
      </w:r>
    </w:p>
    <w:p w14:paraId="72B6DA1A"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t xml:space="preserve">Atchley, P., Pannell, H., Wofford, K., Hopkins, M., &amp; Atchley, R. A. (2024). Human and AI collaboration in the higher education environment: Opportunities and concerns. </w:t>
      </w:r>
      <w:r w:rsidRPr="009746EF">
        <w:rPr>
          <w:rFonts w:ascii="Times New Roman" w:hAnsi="Times New Roman" w:cs="Times New Roman"/>
          <w:i/>
          <w:iCs/>
        </w:rPr>
        <w:t>Cognitive Research: Principles and Implications</w:t>
      </w:r>
      <w:r w:rsidRPr="009746EF">
        <w:rPr>
          <w:rFonts w:ascii="Times New Roman" w:hAnsi="Times New Roman" w:cs="Times New Roman"/>
        </w:rPr>
        <w:t xml:space="preserve">, </w:t>
      </w:r>
      <w:r w:rsidRPr="009746EF">
        <w:rPr>
          <w:rFonts w:ascii="Times New Roman" w:hAnsi="Times New Roman" w:cs="Times New Roman"/>
          <w:i/>
          <w:iCs/>
        </w:rPr>
        <w:t>9</w:t>
      </w:r>
      <w:r w:rsidRPr="009746EF">
        <w:rPr>
          <w:rFonts w:ascii="Times New Roman" w:hAnsi="Times New Roman" w:cs="Times New Roman"/>
        </w:rPr>
        <w:t>(1), 20. https://doi.org/10.1186/s41235-024-00547-9</w:t>
      </w:r>
    </w:p>
    <w:p w14:paraId="6BD9FE2B"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t xml:space="preserve">Bearman, M., &amp; Ajjawi, R. (2023). Learning to work with the black box: Pedagogy for a world with artificial intelligence. </w:t>
      </w:r>
      <w:r w:rsidRPr="009746EF">
        <w:rPr>
          <w:rFonts w:ascii="Times New Roman" w:hAnsi="Times New Roman" w:cs="Times New Roman"/>
          <w:i/>
          <w:iCs/>
        </w:rPr>
        <w:t>British Journal of Educational Technology</w:t>
      </w:r>
      <w:r w:rsidRPr="009746EF">
        <w:rPr>
          <w:rFonts w:ascii="Times New Roman" w:hAnsi="Times New Roman" w:cs="Times New Roman"/>
        </w:rPr>
        <w:t xml:space="preserve">, </w:t>
      </w:r>
      <w:r w:rsidRPr="009746EF">
        <w:rPr>
          <w:rFonts w:ascii="Times New Roman" w:hAnsi="Times New Roman" w:cs="Times New Roman"/>
          <w:i/>
          <w:iCs/>
        </w:rPr>
        <w:t>54</w:t>
      </w:r>
      <w:r w:rsidRPr="009746EF">
        <w:rPr>
          <w:rFonts w:ascii="Times New Roman" w:hAnsi="Times New Roman" w:cs="Times New Roman"/>
        </w:rPr>
        <w:t>(5), 1160–1173. https://doi.org/10.1111/bjet.13337</w:t>
      </w:r>
    </w:p>
    <w:p w14:paraId="24F8B906"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t xml:space="preserve">Bista, K., &amp; Bista, R. (2025). Leveraging AI Tools in Academic Writing: Insights from Doctoral Students on Benefits and Challenges. </w:t>
      </w:r>
      <w:r w:rsidRPr="009746EF">
        <w:rPr>
          <w:rFonts w:ascii="Times New Roman" w:hAnsi="Times New Roman" w:cs="Times New Roman"/>
          <w:i/>
          <w:iCs/>
        </w:rPr>
        <w:t>American Journal of STEM Education: Issues and Perspectives</w:t>
      </w:r>
      <w:r w:rsidRPr="009746EF">
        <w:rPr>
          <w:rFonts w:ascii="Times New Roman" w:hAnsi="Times New Roman" w:cs="Times New Roman"/>
        </w:rPr>
        <w:t xml:space="preserve">, </w:t>
      </w:r>
      <w:r w:rsidRPr="009746EF">
        <w:rPr>
          <w:rFonts w:ascii="Times New Roman" w:hAnsi="Times New Roman" w:cs="Times New Roman"/>
          <w:i/>
          <w:iCs/>
        </w:rPr>
        <w:t>6</w:t>
      </w:r>
      <w:r w:rsidRPr="009746EF">
        <w:rPr>
          <w:rFonts w:ascii="Times New Roman" w:hAnsi="Times New Roman" w:cs="Times New Roman"/>
        </w:rPr>
        <w:t>, 32–47. https://doi.org/10.32674/9m8dq081</w:t>
      </w:r>
    </w:p>
    <w:p w14:paraId="74DEE954"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t xml:space="preserve">Boyd, P., &amp; Harding, D. (2025). Generative AI: Reconfiguring supervision and doctoral research. </w:t>
      </w:r>
      <w:r w:rsidRPr="009746EF">
        <w:rPr>
          <w:rFonts w:ascii="Times New Roman" w:hAnsi="Times New Roman" w:cs="Times New Roman"/>
          <w:i/>
          <w:iCs/>
        </w:rPr>
        <w:t>Buildings &amp; Cities</w:t>
      </w:r>
      <w:r w:rsidRPr="009746EF">
        <w:rPr>
          <w:rFonts w:ascii="Times New Roman" w:hAnsi="Times New Roman" w:cs="Times New Roman"/>
        </w:rPr>
        <w:t xml:space="preserve">, </w:t>
      </w:r>
      <w:r w:rsidRPr="009746EF">
        <w:rPr>
          <w:rFonts w:ascii="Times New Roman" w:hAnsi="Times New Roman" w:cs="Times New Roman"/>
          <w:i/>
          <w:iCs/>
        </w:rPr>
        <w:t>6</w:t>
      </w:r>
      <w:r w:rsidRPr="009746EF">
        <w:rPr>
          <w:rFonts w:ascii="Times New Roman" w:hAnsi="Times New Roman" w:cs="Times New Roman"/>
        </w:rPr>
        <w:t>(1). https://doi.org/10.5334/bc.560</w:t>
      </w:r>
    </w:p>
    <w:p w14:paraId="26AA26AA"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t xml:space="preserve">Bozkurt, A., Xiao, J., Farrow, R., Bai, J. Y. H., Nerantzi, C., Moore, S., Dron, J., Stracke, C. M., Singh, L., Crompton, H., Koutropoulos, A., Terentev, E., Pazurek, A., Nichols, M., Sidorkin, A. M., Costello, E., Watson, S., Mulligan, D., Honeychurch, S., … Asino, T. I. (2024). The Manifesto for Teaching and Learning in a Time of Generative AI: A Critical Collective Stance to Better Navigate the Future. </w:t>
      </w:r>
      <w:r w:rsidRPr="009746EF">
        <w:rPr>
          <w:rFonts w:ascii="Times New Roman" w:hAnsi="Times New Roman" w:cs="Times New Roman"/>
          <w:i/>
          <w:iCs/>
        </w:rPr>
        <w:t>Open Praxis</w:t>
      </w:r>
      <w:r w:rsidRPr="009746EF">
        <w:rPr>
          <w:rFonts w:ascii="Times New Roman" w:hAnsi="Times New Roman" w:cs="Times New Roman"/>
        </w:rPr>
        <w:t xml:space="preserve">, </w:t>
      </w:r>
      <w:r w:rsidRPr="009746EF">
        <w:rPr>
          <w:rFonts w:ascii="Times New Roman" w:hAnsi="Times New Roman" w:cs="Times New Roman"/>
          <w:i/>
          <w:iCs/>
        </w:rPr>
        <w:t>16</w:t>
      </w:r>
      <w:r w:rsidRPr="009746EF">
        <w:rPr>
          <w:rFonts w:ascii="Times New Roman" w:hAnsi="Times New Roman" w:cs="Times New Roman"/>
        </w:rPr>
        <w:t>(4), 487–513. https://doi.org/10.55982/openpraxis.16.4.777</w:t>
      </w:r>
    </w:p>
    <w:p w14:paraId="689A1801"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t xml:space="preserve">Cantwell, R. H., Bourke, S. F., Scevak, J. J., Holbrook, A. P., &amp; Budd, J. (2017). Doctoral candidates as learners: A study of individual differences in responses to learning and its management. </w:t>
      </w:r>
      <w:r w:rsidRPr="009746EF">
        <w:rPr>
          <w:rFonts w:ascii="Times New Roman" w:hAnsi="Times New Roman" w:cs="Times New Roman"/>
          <w:i/>
          <w:iCs/>
        </w:rPr>
        <w:t>Studies in Higher Education</w:t>
      </w:r>
      <w:r w:rsidRPr="009746EF">
        <w:rPr>
          <w:rFonts w:ascii="Times New Roman" w:hAnsi="Times New Roman" w:cs="Times New Roman"/>
        </w:rPr>
        <w:t xml:space="preserve">, </w:t>
      </w:r>
      <w:r w:rsidRPr="009746EF">
        <w:rPr>
          <w:rFonts w:ascii="Times New Roman" w:hAnsi="Times New Roman" w:cs="Times New Roman"/>
          <w:i/>
          <w:iCs/>
        </w:rPr>
        <w:t>42</w:t>
      </w:r>
      <w:r w:rsidRPr="009746EF">
        <w:rPr>
          <w:rFonts w:ascii="Times New Roman" w:hAnsi="Times New Roman" w:cs="Times New Roman"/>
        </w:rPr>
        <w:t>(1), 47–64. https://doi.org/10.1080/03075079.2015.1034263</w:t>
      </w:r>
    </w:p>
    <w:p w14:paraId="7A97CCCE"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t xml:space="preserve">Cantwell, R. H., Scevak, J. J., Bourke, S., &amp; Holbrook, A. (2012). Individual Differences That Affect the Quality of Learning in Doctoral Candidates. In J. R. Kirby &amp; M. J. Lawson (Eds.), </w:t>
      </w:r>
      <w:r w:rsidRPr="009746EF">
        <w:rPr>
          <w:rFonts w:ascii="Times New Roman" w:hAnsi="Times New Roman" w:cs="Times New Roman"/>
          <w:i/>
          <w:iCs/>
        </w:rPr>
        <w:t>Enhancing the Quality of Learning</w:t>
      </w:r>
      <w:r w:rsidRPr="009746EF">
        <w:rPr>
          <w:rFonts w:ascii="Times New Roman" w:hAnsi="Times New Roman" w:cs="Times New Roman"/>
        </w:rPr>
        <w:t xml:space="preserve"> (1st ed., pp. 93–114). Cambridge University Press. https://doi.org/10.1017/CBO9781139048224.007</w:t>
      </w:r>
    </w:p>
    <w:p w14:paraId="2C98F100"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t xml:space="preserve">Cefa, B., Macgilchrist, F., ElGamal, H., Bai, J. Y. H., &amp; Zawacki-Richter, O. (2025). Responses to the initial hype: ChatGPT supporting teaching, learning, and scholarship? </w:t>
      </w:r>
      <w:r w:rsidRPr="009746EF">
        <w:rPr>
          <w:rFonts w:ascii="Times New Roman" w:hAnsi="Times New Roman" w:cs="Times New Roman"/>
          <w:i/>
          <w:iCs/>
        </w:rPr>
        <w:t>Open Praxis</w:t>
      </w:r>
      <w:r w:rsidRPr="009746EF">
        <w:rPr>
          <w:rFonts w:ascii="Times New Roman" w:hAnsi="Times New Roman" w:cs="Times New Roman"/>
        </w:rPr>
        <w:t xml:space="preserve">, </w:t>
      </w:r>
      <w:r w:rsidRPr="009746EF">
        <w:rPr>
          <w:rFonts w:ascii="Times New Roman" w:hAnsi="Times New Roman" w:cs="Times New Roman"/>
          <w:i/>
          <w:iCs/>
        </w:rPr>
        <w:t>17</w:t>
      </w:r>
      <w:r w:rsidRPr="009746EF">
        <w:rPr>
          <w:rFonts w:ascii="Times New Roman" w:hAnsi="Times New Roman" w:cs="Times New Roman"/>
        </w:rPr>
        <w:t>(2), 227–250. https://doi.org/10.55982/%20openpraxis.17.2.872</w:t>
      </w:r>
    </w:p>
    <w:p w14:paraId="026251B7"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t xml:space="preserve">Chen, S., &amp; Chen, W. (2025). AI Driven Intelligent Feedback System for Enhancing Self‐Assessment Accuracy in Higher Education Writing. </w:t>
      </w:r>
      <w:r w:rsidRPr="009746EF">
        <w:rPr>
          <w:rFonts w:ascii="Times New Roman" w:hAnsi="Times New Roman" w:cs="Times New Roman"/>
          <w:i/>
          <w:iCs/>
        </w:rPr>
        <w:t>Expert Systems</w:t>
      </w:r>
      <w:r w:rsidRPr="009746EF">
        <w:rPr>
          <w:rFonts w:ascii="Times New Roman" w:hAnsi="Times New Roman" w:cs="Times New Roman"/>
        </w:rPr>
        <w:t xml:space="preserve">, </w:t>
      </w:r>
      <w:r w:rsidRPr="009746EF">
        <w:rPr>
          <w:rFonts w:ascii="Times New Roman" w:hAnsi="Times New Roman" w:cs="Times New Roman"/>
          <w:i/>
          <w:iCs/>
        </w:rPr>
        <w:t>43</w:t>
      </w:r>
      <w:r w:rsidRPr="009746EF">
        <w:rPr>
          <w:rFonts w:ascii="Times New Roman" w:hAnsi="Times New Roman" w:cs="Times New Roman"/>
        </w:rPr>
        <w:t>(1). https://doi.org/10.1111/exsy.70184</w:t>
      </w:r>
    </w:p>
    <w:p w14:paraId="10E57C40"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t xml:space="preserve">Chowdhury, G., &amp; Chowdhury, S. (2024). AI- and LLM-driven search tools: A paradigm shift in information access for education and research. </w:t>
      </w:r>
      <w:r w:rsidRPr="009746EF">
        <w:rPr>
          <w:rFonts w:ascii="Times New Roman" w:hAnsi="Times New Roman" w:cs="Times New Roman"/>
          <w:i/>
          <w:iCs/>
        </w:rPr>
        <w:t>Journal of Information Science</w:t>
      </w:r>
      <w:r w:rsidRPr="009746EF">
        <w:rPr>
          <w:rFonts w:ascii="Times New Roman" w:hAnsi="Times New Roman" w:cs="Times New Roman"/>
        </w:rPr>
        <w:t>, 01655515241284046. https://doi.org/10.1177/01655515241284046</w:t>
      </w:r>
    </w:p>
    <w:p w14:paraId="4EDC6184"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t xml:space="preserve">Crowther, S., &amp; Thomson, G. (2020). From Description to Interpretive Leap: Using Philosophical Notions to Unpack and Surface Meaning in Hermeneutic Phenomenology Research. </w:t>
      </w:r>
      <w:r w:rsidRPr="009746EF">
        <w:rPr>
          <w:rFonts w:ascii="Times New Roman" w:hAnsi="Times New Roman" w:cs="Times New Roman"/>
          <w:i/>
          <w:iCs/>
        </w:rPr>
        <w:t>International Journal of Qualitative Methods</w:t>
      </w:r>
      <w:r w:rsidRPr="009746EF">
        <w:rPr>
          <w:rFonts w:ascii="Times New Roman" w:hAnsi="Times New Roman" w:cs="Times New Roman"/>
        </w:rPr>
        <w:t xml:space="preserve">, </w:t>
      </w:r>
      <w:r w:rsidRPr="009746EF">
        <w:rPr>
          <w:rFonts w:ascii="Times New Roman" w:hAnsi="Times New Roman" w:cs="Times New Roman"/>
          <w:i/>
          <w:iCs/>
        </w:rPr>
        <w:t>19</w:t>
      </w:r>
      <w:r w:rsidRPr="009746EF">
        <w:rPr>
          <w:rFonts w:ascii="Times New Roman" w:hAnsi="Times New Roman" w:cs="Times New Roman"/>
        </w:rPr>
        <w:t>. https://doi.org/10.1177/1609406920969264</w:t>
      </w:r>
    </w:p>
    <w:p w14:paraId="7795F39F"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lastRenderedPageBreak/>
        <w:t xml:space="preserve">Fan, Y., Tang, L., Le, H., Shen, K., Tan, S., Zhao, Y., Shen, Y., Li, X., &amp; Gašević, D. (2025). Beware of metacognitive laziness: Effects of generative artificial intelligence on learning motivation, processes, and performance. </w:t>
      </w:r>
      <w:r w:rsidRPr="009746EF">
        <w:rPr>
          <w:rFonts w:ascii="Times New Roman" w:hAnsi="Times New Roman" w:cs="Times New Roman"/>
          <w:i/>
          <w:iCs/>
        </w:rPr>
        <w:t>British Journal of Educational Technology</w:t>
      </w:r>
      <w:r w:rsidRPr="009746EF">
        <w:rPr>
          <w:rFonts w:ascii="Times New Roman" w:hAnsi="Times New Roman" w:cs="Times New Roman"/>
        </w:rPr>
        <w:t xml:space="preserve">, </w:t>
      </w:r>
      <w:r w:rsidRPr="009746EF">
        <w:rPr>
          <w:rFonts w:ascii="Times New Roman" w:hAnsi="Times New Roman" w:cs="Times New Roman"/>
          <w:i/>
          <w:iCs/>
        </w:rPr>
        <w:t>56</w:t>
      </w:r>
      <w:r w:rsidRPr="009746EF">
        <w:rPr>
          <w:rFonts w:ascii="Times New Roman" w:hAnsi="Times New Roman" w:cs="Times New Roman"/>
        </w:rPr>
        <w:t>(2), 489–530. https://doi.org/10.1111/bjet.13544</w:t>
      </w:r>
    </w:p>
    <w:p w14:paraId="4EAFFF77"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t xml:space="preserve">Flavell, J. H. (1979). Metacognition and cognitive monitoring: A new area of cognitive–developmental inquiry. </w:t>
      </w:r>
      <w:r w:rsidRPr="009746EF">
        <w:rPr>
          <w:rFonts w:ascii="Times New Roman" w:hAnsi="Times New Roman" w:cs="Times New Roman"/>
          <w:i/>
          <w:iCs/>
        </w:rPr>
        <w:t>American Psychologist</w:t>
      </w:r>
      <w:r w:rsidRPr="009746EF">
        <w:rPr>
          <w:rFonts w:ascii="Times New Roman" w:hAnsi="Times New Roman" w:cs="Times New Roman"/>
        </w:rPr>
        <w:t xml:space="preserve">, </w:t>
      </w:r>
      <w:r w:rsidRPr="009746EF">
        <w:rPr>
          <w:rFonts w:ascii="Times New Roman" w:hAnsi="Times New Roman" w:cs="Times New Roman"/>
          <w:i/>
          <w:iCs/>
        </w:rPr>
        <w:t>34</w:t>
      </w:r>
      <w:r w:rsidRPr="009746EF">
        <w:rPr>
          <w:rFonts w:ascii="Times New Roman" w:hAnsi="Times New Roman" w:cs="Times New Roman"/>
        </w:rPr>
        <w:t>(10), 906–911. https://doi.org/10.1037/0003-066X.34.10.906</w:t>
      </w:r>
    </w:p>
    <w:p w14:paraId="50E856DD"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t xml:space="preserve">Gadamer, H.-G. (1960). </w:t>
      </w:r>
      <w:r w:rsidRPr="009746EF">
        <w:rPr>
          <w:rFonts w:ascii="Times New Roman" w:hAnsi="Times New Roman" w:cs="Times New Roman"/>
          <w:i/>
          <w:iCs/>
        </w:rPr>
        <w:t>Truth and Method</w:t>
      </w:r>
      <w:r w:rsidRPr="009746EF">
        <w:rPr>
          <w:rFonts w:ascii="Times New Roman" w:hAnsi="Times New Roman" w:cs="Times New Roman"/>
        </w:rPr>
        <w:t xml:space="preserve"> (J. Weinsheimer &amp; D. G. Marshall, Trans.; Second, Revised Editi). Continuum Publishing Group.</w:t>
      </w:r>
    </w:p>
    <w:p w14:paraId="7C5945EE"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t xml:space="preserve">Gadamer, H.-G. (1976). </w:t>
      </w:r>
      <w:r w:rsidRPr="009746EF">
        <w:rPr>
          <w:rFonts w:ascii="Times New Roman" w:hAnsi="Times New Roman" w:cs="Times New Roman"/>
          <w:i/>
          <w:iCs/>
        </w:rPr>
        <w:t>Philosophical hermeneutics</w:t>
      </w:r>
      <w:r w:rsidRPr="009746EF">
        <w:rPr>
          <w:rFonts w:ascii="Times New Roman" w:hAnsi="Times New Roman" w:cs="Times New Roman"/>
        </w:rPr>
        <w:t xml:space="preserve"> (Vol. 88, Issue 1). University of California Press.</w:t>
      </w:r>
    </w:p>
    <w:p w14:paraId="07DCC003"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t xml:space="preserve">Gopinath, C., &amp; Prasad, A. (2013). Toward a critical framework for understanding MNE operations: Revisiting Coca-Cola’s exit from India. </w:t>
      </w:r>
      <w:r w:rsidRPr="009746EF">
        <w:rPr>
          <w:rFonts w:ascii="Times New Roman" w:hAnsi="Times New Roman" w:cs="Times New Roman"/>
          <w:i/>
          <w:iCs/>
        </w:rPr>
        <w:t>Organization</w:t>
      </w:r>
      <w:r w:rsidRPr="009746EF">
        <w:rPr>
          <w:rFonts w:ascii="Times New Roman" w:hAnsi="Times New Roman" w:cs="Times New Roman"/>
        </w:rPr>
        <w:t xml:space="preserve">, </w:t>
      </w:r>
      <w:r w:rsidRPr="009746EF">
        <w:rPr>
          <w:rFonts w:ascii="Times New Roman" w:hAnsi="Times New Roman" w:cs="Times New Roman"/>
          <w:i/>
          <w:iCs/>
        </w:rPr>
        <w:t>20</w:t>
      </w:r>
      <w:r w:rsidRPr="009746EF">
        <w:rPr>
          <w:rFonts w:ascii="Times New Roman" w:hAnsi="Times New Roman" w:cs="Times New Roman"/>
        </w:rPr>
        <w:t>(2), 212–232. https://doi.org/10.1177/1350508412440350</w:t>
      </w:r>
    </w:p>
    <w:p w14:paraId="3ABEF301"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t xml:space="preserve">Hutson, J., &amp; Plate, D. (2023). Human-AI Collaboration for Smart Education: Reframing Applied Learning to Support Metacognition. </w:t>
      </w:r>
      <w:r w:rsidRPr="009746EF">
        <w:rPr>
          <w:rFonts w:ascii="Times New Roman" w:hAnsi="Times New Roman" w:cs="Times New Roman"/>
          <w:i/>
          <w:iCs/>
        </w:rPr>
        <w:t>Faculty Scholarship</w:t>
      </w:r>
      <w:r w:rsidRPr="009746EF">
        <w:rPr>
          <w:rFonts w:ascii="Times New Roman" w:hAnsi="Times New Roman" w:cs="Times New Roman"/>
        </w:rPr>
        <w:t>. https://digitalcommons.lindenwood.edu/faculty-research-papers/480</w:t>
      </w:r>
    </w:p>
    <w:p w14:paraId="4A7D44E1"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t xml:space="preserve">Karaoglan Yilmaz, F. G., &amp; Yilmaz, R. (2025). Exploring the role of self-regulated learnings skills, cognitive flexibility, and metacognitive awareness on generative artificial intelligence attitude. </w:t>
      </w:r>
      <w:r w:rsidRPr="009746EF">
        <w:rPr>
          <w:rFonts w:ascii="Times New Roman" w:hAnsi="Times New Roman" w:cs="Times New Roman"/>
          <w:i/>
          <w:iCs/>
        </w:rPr>
        <w:t>Innovations in Education and Teaching International</w:t>
      </w:r>
      <w:r w:rsidRPr="009746EF">
        <w:rPr>
          <w:rFonts w:ascii="Times New Roman" w:hAnsi="Times New Roman" w:cs="Times New Roman"/>
        </w:rPr>
        <w:t xml:space="preserve">, </w:t>
      </w:r>
      <w:r w:rsidRPr="009746EF">
        <w:rPr>
          <w:rFonts w:ascii="Times New Roman" w:hAnsi="Times New Roman" w:cs="Times New Roman"/>
          <w:i/>
          <w:iCs/>
        </w:rPr>
        <w:t>62</w:t>
      </w:r>
      <w:r w:rsidRPr="009746EF">
        <w:rPr>
          <w:rFonts w:ascii="Times New Roman" w:hAnsi="Times New Roman" w:cs="Times New Roman"/>
        </w:rPr>
        <w:t>(5), 1682–1695. https://doi.org/10.1080/14703297.2025.2484613</w:t>
      </w:r>
    </w:p>
    <w:p w14:paraId="42C84B92"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t xml:space="preserve">Li, Q., &amp; Bahari, A. (2026). AI-mediated scaffolding in academic writing: A longitudinal mixed-methods study on foundational skill development and dialogic engagement among EFL postgraduate students. </w:t>
      </w:r>
      <w:r w:rsidRPr="009746EF">
        <w:rPr>
          <w:rFonts w:ascii="Times New Roman" w:hAnsi="Times New Roman" w:cs="Times New Roman"/>
          <w:i/>
          <w:iCs/>
        </w:rPr>
        <w:t>Interactive Learning Environments</w:t>
      </w:r>
      <w:r w:rsidRPr="009746EF">
        <w:rPr>
          <w:rFonts w:ascii="Times New Roman" w:hAnsi="Times New Roman" w:cs="Times New Roman"/>
        </w:rPr>
        <w:t>, 1–29. https://doi.org/10.1080/10494820.2026.2635539</w:t>
      </w:r>
    </w:p>
    <w:p w14:paraId="19080618"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t xml:space="preserve">Lin, Z. (2023). Why and how to embrace AI such as ChatGPT in your academic life. </w:t>
      </w:r>
      <w:r w:rsidRPr="009746EF">
        <w:rPr>
          <w:rFonts w:ascii="Times New Roman" w:hAnsi="Times New Roman" w:cs="Times New Roman"/>
          <w:i/>
          <w:iCs/>
        </w:rPr>
        <w:t>Royal Society Open Science</w:t>
      </w:r>
      <w:r w:rsidRPr="009746EF">
        <w:rPr>
          <w:rFonts w:ascii="Times New Roman" w:hAnsi="Times New Roman" w:cs="Times New Roman"/>
        </w:rPr>
        <w:t xml:space="preserve">, </w:t>
      </w:r>
      <w:r w:rsidRPr="009746EF">
        <w:rPr>
          <w:rFonts w:ascii="Times New Roman" w:hAnsi="Times New Roman" w:cs="Times New Roman"/>
          <w:i/>
          <w:iCs/>
        </w:rPr>
        <w:t>10</w:t>
      </w:r>
      <w:r w:rsidRPr="009746EF">
        <w:rPr>
          <w:rFonts w:ascii="Times New Roman" w:hAnsi="Times New Roman" w:cs="Times New Roman"/>
        </w:rPr>
        <w:t>(8), 230658. https://doi.org/10.1098/rsos.230658</w:t>
      </w:r>
    </w:p>
    <w:p w14:paraId="63DE8954"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t xml:space="preserve">Lincoln, Y. S., &amp; Guba, E. G. (1985). </w:t>
      </w:r>
      <w:r w:rsidRPr="009746EF">
        <w:rPr>
          <w:rFonts w:ascii="Times New Roman" w:hAnsi="Times New Roman" w:cs="Times New Roman"/>
          <w:i/>
          <w:iCs/>
        </w:rPr>
        <w:t>Naturalistic Inquiry</w:t>
      </w:r>
      <w:r w:rsidRPr="009746EF">
        <w:rPr>
          <w:rFonts w:ascii="Times New Roman" w:hAnsi="Times New Roman" w:cs="Times New Roman"/>
        </w:rPr>
        <w:t>. SAGE.</w:t>
      </w:r>
    </w:p>
    <w:p w14:paraId="6B4747B6"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t xml:space="preserve">Lund, B., Mannuru, N. R., Teel, Z. A., Lee, T. H., Ortega, N. J., Simmons, S., &amp; Ward, E. (2025). Student Perceptions of AI-Assisted Writing and Academic Integrity: Ethical Concerns, Academic Misconduct, and Use of Generative AI in Higher Education. </w:t>
      </w:r>
      <w:r w:rsidRPr="009746EF">
        <w:rPr>
          <w:rFonts w:ascii="Times New Roman" w:hAnsi="Times New Roman" w:cs="Times New Roman"/>
          <w:i/>
          <w:iCs/>
        </w:rPr>
        <w:t>AI in Education</w:t>
      </w:r>
      <w:r w:rsidRPr="009746EF">
        <w:rPr>
          <w:rFonts w:ascii="Times New Roman" w:hAnsi="Times New Roman" w:cs="Times New Roman"/>
        </w:rPr>
        <w:t xml:space="preserve">, </w:t>
      </w:r>
      <w:r w:rsidRPr="009746EF">
        <w:rPr>
          <w:rFonts w:ascii="Times New Roman" w:hAnsi="Times New Roman" w:cs="Times New Roman"/>
          <w:i/>
          <w:iCs/>
        </w:rPr>
        <w:t>1</w:t>
      </w:r>
      <w:r w:rsidRPr="009746EF">
        <w:rPr>
          <w:rFonts w:ascii="Times New Roman" w:hAnsi="Times New Roman" w:cs="Times New Roman"/>
        </w:rPr>
        <w:t>(1), 2. https://doi.org/10.3390/aieduc1010002</w:t>
      </w:r>
    </w:p>
    <w:p w14:paraId="2896F60C"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t xml:space="preserve">Mishra, D. R., &amp; Varshney, D. (2024). Academic Integrity in Higher Education: Faculty Perceptions, Strategies, and Digital Challenges in the Digital Age. </w:t>
      </w:r>
      <w:r w:rsidRPr="009746EF">
        <w:rPr>
          <w:rFonts w:ascii="Times New Roman" w:hAnsi="Times New Roman" w:cs="Times New Roman"/>
          <w:i/>
          <w:iCs/>
        </w:rPr>
        <w:t>International Journal of All Research Education and Scientific Methods</w:t>
      </w:r>
      <w:r w:rsidRPr="009746EF">
        <w:rPr>
          <w:rFonts w:ascii="Times New Roman" w:hAnsi="Times New Roman" w:cs="Times New Roman"/>
        </w:rPr>
        <w:t xml:space="preserve">, </w:t>
      </w:r>
      <w:r w:rsidRPr="009746EF">
        <w:rPr>
          <w:rFonts w:ascii="Times New Roman" w:hAnsi="Times New Roman" w:cs="Times New Roman"/>
          <w:i/>
          <w:iCs/>
        </w:rPr>
        <w:t>12</w:t>
      </w:r>
      <w:r w:rsidRPr="009746EF">
        <w:rPr>
          <w:rFonts w:ascii="Times New Roman" w:hAnsi="Times New Roman" w:cs="Times New Roman"/>
        </w:rPr>
        <w:t>(4).</w:t>
      </w:r>
    </w:p>
    <w:p w14:paraId="4269F79C"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t xml:space="preserve">Negretti, R. (2021). Searching for Metacognitive Generalities: Areas of Convergence in Learning to Write for Publication Across Doctoral Students in Science and Engineering. </w:t>
      </w:r>
      <w:r w:rsidRPr="009746EF">
        <w:rPr>
          <w:rFonts w:ascii="Times New Roman" w:hAnsi="Times New Roman" w:cs="Times New Roman"/>
          <w:i/>
          <w:iCs/>
        </w:rPr>
        <w:t>Written Communication</w:t>
      </w:r>
      <w:r w:rsidRPr="009746EF">
        <w:rPr>
          <w:rFonts w:ascii="Times New Roman" w:hAnsi="Times New Roman" w:cs="Times New Roman"/>
        </w:rPr>
        <w:t xml:space="preserve">, </w:t>
      </w:r>
      <w:r w:rsidRPr="009746EF">
        <w:rPr>
          <w:rFonts w:ascii="Times New Roman" w:hAnsi="Times New Roman" w:cs="Times New Roman"/>
          <w:i/>
          <w:iCs/>
        </w:rPr>
        <w:t>38</w:t>
      </w:r>
      <w:r w:rsidRPr="009746EF">
        <w:rPr>
          <w:rFonts w:ascii="Times New Roman" w:hAnsi="Times New Roman" w:cs="Times New Roman"/>
        </w:rPr>
        <w:t>(2), 167–207. https://doi.org/10.1177/0741088320984796</w:t>
      </w:r>
    </w:p>
    <w:p w14:paraId="764CFFEC"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t xml:space="preserve">Prasad, A. (2002). The Contest Over Meaning: Hermeneutics as an Interpretive Methodology for Understanding Texts. </w:t>
      </w:r>
      <w:r w:rsidRPr="009746EF">
        <w:rPr>
          <w:rFonts w:ascii="Times New Roman" w:hAnsi="Times New Roman" w:cs="Times New Roman"/>
          <w:i/>
          <w:iCs/>
        </w:rPr>
        <w:t>Organizational Research Methods</w:t>
      </w:r>
      <w:r w:rsidRPr="009746EF">
        <w:rPr>
          <w:rFonts w:ascii="Times New Roman" w:hAnsi="Times New Roman" w:cs="Times New Roman"/>
        </w:rPr>
        <w:t xml:space="preserve">, </w:t>
      </w:r>
      <w:r w:rsidRPr="009746EF">
        <w:rPr>
          <w:rFonts w:ascii="Times New Roman" w:hAnsi="Times New Roman" w:cs="Times New Roman"/>
          <w:i/>
          <w:iCs/>
        </w:rPr>
        <w:t>5</w:t>
      </w:r>
      <w:r w:rsidRPr="009746EF">
        <w:rPr>
          <w:rFonts w:ascii="Times New Roman" w:hAnsi="Times New Roman" w:cs="Times New Roman"/>
        </w:rPr>
        <w:t>(1), 12–33.</w:t>
      </w:r>
    </w:p>
    <w:p w14:paraId="0303024A"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t xml:space="preserve">Santelmann, L. M., Stevens, D. D., &amp; Martin, S. B. (2018). Fostering Master’s Students’ Metacognition and Self-Regulation Practices for Research Writing. </w:t>
      </w:r>
      <w:r w:rsidRPr="009746EF">
        <w:rPr>
          <w:rFonts w:ascii="Times New Roman" w:hAnsi="Times New Roman" w:cs="Times New Roman"/>
          <w:i/>
          <w:iCs/>
        </w:rPr>
        <w:t>College Teaching</w:t>
      </w:r>
      <w:r w:rsidRPr="009746EF">
        <w:rPr>
          <w:rFonts w:ascii="Times New Roman" w:hAnsi="Times New Roman" w:cs="Times New Roman"/>
        </w:rPr>
        <w:t xml:space="preserve">, </w:t>
      </w:r>
      <w:r w:rsidRPr="009746EF">
        <w:rPr>
          <w:rFonts w:ascii="Times New Roman" w:hAnsi="Times New Roman" w:cs="Times New Roman"/>
          <w:i/>
          <w:iCs/>
        </w:rPr>
        <w:t>66</w:t>
      </w:r>
      <w:r w:rsidRPr="009746EF">
        <w:rPr>
          <w:rFonts w:ascii="Times New Roman" w:hAnsi="Times New Roman" w:cs="Times New Roman"/>
        </w:rPr>
        <w:t>(3), 111–123. https://doi.org/10.1080/87567555.2018.1446898</w:t>
      </w:r>
    </w:p>
    <w:p w14:paraId="257B869C"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t xml:space="preserve">Schwandt, T. (2000). Three epistemological stances for qualitative inquiry: Interpretivism, hermeneutics, and social constructivism. In </w:t>
      </w:r>
      <w:r w:rsidRPr="009746EF">
        <w:rPr>
          <w:rFonts w:ascii="Times New Roman" w:hAnsi="Times New Roman" w:cs="Times New Roman"/>
          <w:i/>
          <w:iCs/>
        </w:rPr>
        <w:t>Handbook of Qualitative Research</w:t>
      </w:r>
      <w:r w:rsidRPr="009746EF">
        <w:rPr>
          <w:rFonts w:ascii="Times New Roman" w:hAnsi="Times New Roman" w:cs="Times New Roman"/>
        </w:rPr>
        <w:t xml:space="preserve"> (pp. 189–214).</w:t>
      </w:r>
    </w:p>
    <w:p w14:paraId="0EE7CB38"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lastRenderedPageBreak/>
        <w:t xml:space="preserve">Selwyn, N. (2022). The future of AI and education: Some cautionary notes. </w:t>
      </w:r>
      <w:r w:rsidRPr="009746EF">
        <w:rPr>
          <w:rFonts w:ascii="Times New Roman" w:hAnsi="Times New Roman" w:cs="Times New Roman"/>
          <w:i/>
          <w:iCs/>
        </w:rPr>
        <w:t>European Journal of Education</w:t>
      </w:r>
      <w:r w:rsidRPr="009746EF">
        <w:rPr>
          <w:rFonts w:ascii="Times New Roman" w:hAnsi="Times New Roman" w:cs="Times New Roman"/>
        </w:rPr>
        <w:t xml:space="preserve">, </w:t>
      </w:r>
      <w:r w:rsidRPr="009746EF">
        <w:rPr>
          <w:rFonts w:ascii="Times New Roman" w:hAnsi="Times New Roman" w:cs="Times New Roman"/>
          <w:i/>
          <w:iCs/>
        </w:rPr>
        <w:t>57</w:t>
      </w:r>
      <w:r w:rsidRPr="009746EF">
        <w:rPr>
          <w:rFonts w:ascii="Times New Roman" w:hAnsi="Times New Roman" w:cs="Times New Roman"/>
        </w:rPr>
        <w:t>(4), 620–631. https://doi.org/10.1111/ejed.12532</w:t>
      </w:r>
    </w:p>
    <w:p w14:paraId="6D6BE4D4"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t xml:space="preserve">The Ohio State University. (2025). </w:t>
      </w:r>
      <w:r w:rsidRPr="009746EF">
        <w:rPr>
          <w:rFonts w:ascii="Times New Roman" w:hAnsi="Times New Roman" w:cs="Times New Roman"/>
          <w:i/>
          <w:iCs/>
        </w:rPr>
        <w:t>AI Fluency: FAQs | Office of Academic Affairs</w:t>
      </w:r>
      <w:r w:rsidRPr="009746EF">
        <w:rPr>
          <w:rFonts w:ascii="Times New Roman" w:hAnsi="Times New Roman" w:cs="Times New Roman"/>
        </w:rPr>
        <w:t>. https://oaa.osu.edu/ai-fluency-faqs</w:t>
      </w:r>
    </w:p>
    <w:p w14:paraId="5F368FC7"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t xml:space="preserve">Wang, S., Wang, F., Zhu, Z., Wang, J., Tran, T., &amp; Du, Z. (2024). Artificial intelligence in education: A systematic literature review. </w:t>
      </w:r>
      <w:r w:rsidRPr="009746EF">
        <w:rPr>
          <w:rFonts w:ascii="Times New Roman" w:hAnsi="Times New Roman" w:cs="Times New Roman"/>
          <w:i/>
          <w:iCs/>
        </w:rPr>
        <w:t>Expert Systems with Applications</w:t>
      </w:r>
      <w:r w:rsidRPr="009746EF">
        <w:rPr>
          <w:rFonts w:ascii="Times New Roman" w:hAnsi="Times New Roman" w:cs="Times New Roman"/>
        </w:rPr>
        <w:t xml:space="preserve">, </w:t>
      </w:r>
      <w:r w:rsidRPr="009746EF">
        <w:rPr>
          <w:rFonts w:ascii="Times New Roman" w:hAnsi="Times New Roman" w:cs="Times New Roman"/>
          <w:i/>
          <w:iCs/>
        </w:rPr>
        <w:t>252</w:t>
      </w:r>
      <w:r w:rsidRPr="009746EF">
        <w:rPr>
          <w:rFonts w:ascii="Times New Roman" w:hAnsi="Times New Roman" w:cs="Times New Roman"/>
        </w:rPr>
        <w:t>(A), 124167. https://doi.org/10.1016/j.eswa.2024.124167</w:t>
      </w:r>
    </w:p>
    <w:p w14:paraId="4B369B63"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t xml:space="preserve">Wang, Z., Yin, Z., Zheng, Y., Li, X., &amp; Zhang, L. (2025). </w:t>
      </w:r>
      <w:r w:rsidRPr="009746EF">
        <w:rPr>
          <w:rFonts w:ascii="Times New Roman" w:hAnsi="Times New Roman" w:cs="Times New Roman"/>
          <w:i/>
          <w:iCs/>
        </w:rPr>
        <w:t>Will graduate students engage in unethical uses of GPT? An exploratory study to understand their perceptions</w:t>
      </w:r>
      <w:r w:rsidRPr="009746EF">
        <w:rPr>
          <w:rFonts w:ascii="Times New Roman" w:hAnsi="Times New Roman" w:cs="Times New Roman"/>
        </w:rPr>
        <w:t xml:space="preserve">. </w:t>
      </w:r>
      <w:r w:rsidRPr="009746EF">
        <w:rPr>
          <w:rFonts w:ascii="Times New Roman" w:hAnsi="Times New Roman" w:cs="Times New Roman"/>
          <w:i/>
          <w:iCs/>
        </w:rPr>
        <w:t>28</w:t>
      </w:r>
      <w:r w:rsidRPr="009746EF">
        <w:rPr>
          <w:rFonts w:ascii="Times New Roman" w:hAnsi="Times New Roman" w:cs="Times New Roman"/>
        </w:rPr>
        <w:t>(1).</w:t>
      </w:r>
    </w:p>
    <w:p w14:paraId="08F3F37E"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t xml:space="preserve">Williamson, B., &amp; Eynon, R. (2020). Historical threads, missing links, and future directions in AI in education. </w:t>
      </w:r>
      <w:r w:rsidRPr="009746EF">
        <w:rPr>
          <w:rFonts w:ascii="Times New Roman" w:hAnsi="Times New Roman" w:cs="Times New Roman"/>
          <w:i/>
          <w:iCs/>
        </w:rPr>
        <w:t>Learning, Media and Technology</w:t>
      </w:r>
      <w:r w:rsidRPr="009746EF">
        <w:rPr>
          <w:rFonts w:ascii="Times New Roman" w:hAnsi="Times New Roman" w:cs="Times New Roman"/>
        </w:rPr>
        <w:t xml:space="preserve">, </w:t>
      </w:r>
      <w:r w:rsidRPr="009746EF">
        <w:rPr>
          <w:rFonts w:ascii="Times New Roman" w:hAnsi="Times New Roman" w:cs="Times New Roman"/>
          <w:i/>
          <w:iCs/>
        </w:rPr>
        <w:t>45</w:t>
      </w:r>
      <w:r w:rsidRPr="009746EF">
        <w:rPr>
          <w:rFonts w:ascii="Times New Roman" w:hAnsi="Times New Roman" w:cs="Times New Roman"/>
        </w:rPr>
        <w:t>(3), 223–235. https://doi.org/10.1080/17439884.2020.1798995</w:t>
      </w:r>
    </w:p>
    <w:p w14:paraId="11D0EA0A"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t xml:space="preserve">Xiao, J., Bozkurt, A., Nichols, M., Pazurek, A., Stracke, C. M., Bai, J. Y. H., Farrow, R., Mulligan, D., Nerantzi, C., Sharma, R. C., Singh, L., Frumin, I., Swindell, A., Honeychurch, S., Bond, M., Dron, J., Moore, S., Leng, J., Van Tryon, P. J. S., … Themeli, C. (2025). Venturing into the Unknown: Critical Insights into Grey Areas and Pioneering Future Directions in Educational Generative AI Research. </w:t>
      </w:r>
      <w:r w:rsidRPr="009746EF">
        <w:rPr>
          <w:rFonts w:ascii="Times New Roman" w:hAnsi="Times New Roman" w:cs="Times New Roman"/>
          <w:i/>
          <w:iCs/>
        </w:rPr>
        <w:t>TechTrends</w:t>
      </w:r>
      <w:r w:rsidRPr="009746EF">
        <w:rPr>
          <w:rFonts w:ascii="Times New Roman" w:hAnsi="Times New Roman" w:cs="Times New Roman"/>
        </w:rPr>
        <w:t xml:space="preserve">, </w:t>
      </w:r>
      <w:r w:rsidRPr="009746EF">
        <w:rPr>
          <w:rFonts w:ascii="Times New Roman" w:hAnsi="Times New Roman" w:cs="Times New Roman"/>
          <w:i/>
          <w:iCs/>
        </w:rPr>
        <w:t>69</w:t>
      </w:r>
      <w:r w:rsidRPr="009746EF">
        <w:rPr>
          <w:rFonts w:ascii="Times New Roman" w:hAnsi="Times New Roman" w:cs="Times New Roman"/>
        </w:rPr>
        <w:t>(3), 582–597. https://doi.org/10.1007/s11528-025-01060-6</w:t>
      </w:r>
    </w:p>
    <w:p w14:paraId="16AF3D21"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t xml:space="preserve">Xu, H., &amp; Shen, W. (2026). From tool to partner: Generative AI usage patterns and research performance among doctoral students. </w:t>
      </w:r>
      <w:r w:rsidRPr="009746EF">
        <w:rPr>
          <w:rFonts w:ascii="Times New Roman" w:hAnsi="Times New Roman" w:cs="Times New Roman"/>
          <w:i/>
          <w:iCs/>
        </w:rPr>
        <w:t>Studies in Higher Education</w:t>
      </w:r>
      <w:r w:rsidRPr="009746EF">
        <w:rPr>
          <w:rFonts w:ascii="Times New Roman" w:hAnsi="Times New Roman" w:cs="Times New Roman"/>
        </w:rPr>
        <w:t>, 1–16. https://doi.org/10.1080/03075079.2026.2625386</w:t>
      </w:r>
    </w:p>
    <w:p w14:paraId="5BC8D701"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t xml:space="preserve">Zarestky, J., Bigler, M., Brazile, M., Lopes, T., &amp; Bangerth, W. (2022). Reflective Writing Supports Metacognition and Self-regulation in Graduate Computational Science and Engineering. </w:t>
      </w:r>
      <w:r w:rsidRPr="009746EF">
        <w:rPr>
          <w:rFonts w:ascii="Times New Roman" w:hAnsi="Times New Roman" w:cs="Times New Roman"/>
          <w:i/>
          <w:iCs/>
        </w:rPr>
        <w:t>Computers and Education Open</w:t>
      </w:r>
      <w:r w:rsidRPr="009746EF">
        <w:rPr>
          <w:rFonts w:ascii="Times New Roman" w:hAnsi="Times New Roman" w:cs="Times New Roman"/>
        </w:rPr>
        <w:t xml:space="preserve">, </w:t>
      </w:r>
      <w:r w:rsidRPr="009746EF">
        <w:rPr>
          <w:rFonts w:ascii="Times New Roman" w:hAnsi="Times New Roman" w:cs="Times New Roman"/>
          <w:i/>
          <w:iCs/>
        </w:rPr>
        <w:t>3</w:t>
      </w:r>
      <w:r w:rsidRPr="009746EF">
        <w:rPr>
          <w:rFonts w:ascii="Times New Roman" w:hAnsi="Times New Roman" w:cs="Times New Roman"/>
        </w:rPr>
        <w:t>, 100085. https://doi.org/10.1016/j.caeo.2022.100085</w:t>
      </w:r>
    </w:p>
    <w:p w14:paraId="42ED2E29"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t xml:space="preserve">Zawacki-Richter, O., Bai, J. Y. H., Lee, K., Slagter Van Tryon, P. J., &amp; Prinsloo, P. (2024). New advances in artificial intelligence applications in higher education? </w:t>
      </w:r>
      <w:r w:rsidRPr="009746EF">
        <w:rPr>
          <w:rFonts w:ascii="Times New Roman" w:hAnsi="Times New Roman" w:cs="Times New Roman"/>
          <w:i/>
          <w:iCs/>
        </w:rPr>
        <w:t>International Journal of Educational Technology in Higher Education</w:t>
      </w:r>
      <w:r w:rsidRPr="009746EF">
        <w:rPr>
          <w:rFonts w:ascii="Times New Roman" w:hAnsi="Times New Roman" w:cs="Times New Roman"/>
        </w:rPr>
        <w:t xml:space="preserve">, </w:t>
      </w:r>
      <w:r w:rsidRPr="009746EF">
        <w:rPr>
          <w:rFonts w:ascii="Times New Roman" w:hAnsi="Times New Roman" w:cs="Times New Roman"/>
          <w:i/>
          <w:iCs/>
        </w:rPr>
        <w:t>21</w:t>
      </w:r>
      <w:r w:rsidRPr="009746EF">
        <w:rPr>
          <w:rFonts w:ascii="Times New Roman" w:hAnsi="Times New Roman" w:cs="Times New Roman"/>
        </w:rPr>
        <w:t>(1), 32, s41239-024-00464–3. https://doi.org/10.1186/s41239-024-00464-3</w:t>
      </w:r>
    </w:p>
    <w:p w14:paraId="2010AAD8"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t xml:space="preserve">Zawacki-Richter, O., Marín, V. I., Bond, M., &amp; Gouverneur, F. (2019). Systematic review of research on artificial intelligence applications in higher education – where are the educators? </w:t>
      </w:r>
      <w:r w:rsidRPr="009746EF">
        <w:rPr>
          <w:rFonts w:ascii="Times New Roman" w:hAnsi="Times New Roman" w:cs="Times New Roman"/>
          <w:i/>
          <w:iCs/>
        </w:rPr>
        <w:t>International Journal of Educational Technology in Higher Education</w:t>
      </w:r>
      <w:r w:rsidRPr="009746EF">
        <w:rPr>
          <w:rFonts w:ascii="Times New Roman" w:hAnsi="Times New Roman" w:cs="Times New Roman"/>
        </w:rPr>
        <w:t xml:space="preserve">, </w:t>
      </w:r>
      <w:r w:rsidRPr="009746EF">
        <w:rPr>
          <w:rFonts w:ascii="Times New Roman" w:hAnsi="Times New Roman" w:cs="Times New Roman"/>
          <w:i/>
          <w:iCs/>
        </w:rPr>
        <w:t>16</w:t>
      </w:r>
      <w:r w:rsidRPr="009746EF">
        <w:rPr>
          <w:rFonts w:ascii="Times New Roman" w:hAnsi="Times New Roman" w:cs="Times New Roman"/>
        </w:rPr>
        <w:t>(1), 39. https://doi.org/10.1186/s41239-019-0171-0</w:t>
      </w:r>
    </w:p>
    <w:p w14:paraId="3A76F30A"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t xml:space="preserve">Zgambo, M., Costello, M., Buhlmann, M., Maldon, J., Anyango, E., &amp; Adama, E. (2025). Artificial intelligence and academic integrity in nursing education: A mixed methods study on usage, perceptions, and institutional implications. </w:t>
      </w:r>
      <w:r w:rsidRPr="009746EF">
        <w:rPr>
          <w:rFonts w:ascii="Times New Roman" w:hAnsi="Times New Roman" w:cs="Times New Roman"/>
          <w:i/>
          <w:iCs/>
        </w:rPr>
        <w:t>Nurse Education Today</w:t>
      </w:r>
      <w:r w:rsidRPr="009746EF">
        <w:rPr>
          <w:rFonts w:ascii="Times New Roman" w:hAnsi="Times New Roman" w:cs="Times New Roman"/>
        </w:rPr>
        <w:t xml:space="preserve">, </w:t>
      </w:r>
      <w:r w:rsidRPr="009746EF">
        <w:rPr>
          <w:rFonts w:ascii="Times New Roman" w:hAnsi="Times New Roman" w:cs="Times New Roman"/>
          <w:i/>
          <w:iCs/>
        </w:rPr>
        <w:t>153</w:t>
      </w:r>
      <w:r w:rsidRPr="009746EF">
        <w:rPr>
          <w:rFonts w:ascii="Times New Roman" w:hAnsi="Times New Roman" w:cs="Times New Roman"/>
        </w:rPr>
        <w:t>, 106796. https://doi.org/10.1016/j.nedt.2025.106796</w:t>
      </w:r>
    </w:p>
    <w:p w14:paraId="0056A6EB" w14:textId="77777777" w:rsidR="009746EF" w:rsidRPr="009746EF" w:rsidRDefault="009746EF" w:rsidP="00C953D7">
      <w:pPr>
        <w:pStyle w:val="Bibliography"/>
        <w:spacing w:line="240" w:lineRule="auto"/>
        <w:rPr>
          <w:rFonts w:ascii="Times New Roman" w:hAnsi="Times New Roman" w:cs="Times New Roman"/>
        </w:rPr>
      </w:pPr>
      <w:r w:rsidRPr="009746EF">
        <w:rPr>
          <w:rFonts w:ascii="Times New Roman" w:hAnsi="Times New Roman" w:cs="Times New Roman"/>
        </w:rPr>
        <w:t xml:space="preserve">Zimmerman, B. J. (2002). Becoming a Self-Regulated Learner: An Overview. </w:t>
      </w:r>
      <w:r w:rsidRPr="009746EF">
        <w:rPr>
          <w:rFonts w:ascii="Times New Roman" w:hAnsi="Times New Roman" w:cs="Times New Roman"/>
          <w:i/>
          <w:iCs/>
        </w:rPr>
        <w:t>Theory into Practice</w:t>
      </w:r>
      <w:r w:rsidRPr="009746EF">
        <w:rPr>
          <w:rFonts w:ascii="Times New Roman" w:hAnsi="Times New Roman" w:cs="Times New Roman"/>
        </w:rPr>
        <w:t xml:space="preserve">, </w:t>
      </w:r>
      <w:r w:rsidRPr="009746EF">
        <w:rPr>
          <w:rFonts w:ascii="Times New Roman" w:hAnsi="Times New Roman" w:cs="Times New Roman"/>
          <w:i/>
          <w:iCs/>
        </w:rPr>
        <w:t>41</w:t>
      </w:r>
      <w:r w:rsidRPr="009746EF">
        <w:rPr>
          <w:rFonts w:ascii="Times New Roman" w:hAnsi="Times New Roman" w:cs="Times New Roman"/>
        </w:rPr>
        <w:t>(2).</w:t>
      </w:r>
    </w:p>
    <w:p w14:paraId="1DC16948" w14:textId="3140737A" w:rsidR="00D16AAA" w:rsidRPr="009D7079" w:rsidRDefault="00D16AAA" w:rsidP="00C953D7">
      <w:pPr>
        <w:spacing w:after="0" w:line="240" w:lineRule="auto"/>
        <w:rPr>
          <w:rFonts w:ascii="Times New Roman" w:hAnsi="Times New Roman" w:cs="Times New Roman"/>
        </w:rPr>
      </w:pPr>
      <w:r>
        <w:rPr>
          <w:rFonts w:ascii="Times New Roman" w:hAnsi="Times New Roman" w:cs="Times New Roman"/>
        </w:rPr>
        <w:fldChar w:fldCharType="end"/>
      </w:r>
    </w:p>
    <w:sectPr w:rsidR="00D16AAA" w:rsidRPr="009D7079">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17D4D" w14:textId="77777777" w:rsidR="006954A6" w:rsidRDefault="006954A6" w:rsidP="00C814D8">
      <w:pPr>
        <w:spacing w:after="0" w:line="240" w:lineRule="auto"/>
      </w:pPr>
      <w:r>
        <w:separator/>
      </w:r>
    </w:p>
  </w:endnote>
  <w:endnote w:type="continuationSeparator" w:id="0">
    <w:p w14:paraId="4A979CCC" w14:textId="77777777" w:rsidR="006954A6" w:rsidRDefault="006954A6" w:rsidP="00C814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368578066"/>
      <w:docPartObj>
        <w:docPartGallery w:val="Page Numbers (Bottom of Page)"/>
        <w:docPartUnique/>
      </w:docPartObj>
    </w:sdtPr>
    <w:sdtEndPr>
      <w:rPr>
        <w:noProof/>
      </w:rPr>
    </w:sdtEndPr>
    <w:sdtContent>
      <w:p w14:paraId="5DD1A423" w14:textId="14A7F8B0" w:rsidR="00C814D8" w:rsidRPr="00C814D8" w:rsidRDefault="00C814D8">
        <w:pPr>
          <w:pStyle w:val="Footer"/>
          <w:jc w:val="center"/>
          <w:rPr>
            <w:rFonts w:ascii="Times New Roman" w:hAnsi="Times New Roman" w:cs="Times New Roman"/>
          </w:rPr>
        </w:pPr>
        <w:r w:rsidRPr="00C814D8">
          <w:rPr>
            <w:rFonts w:ascii="Times New Roman" w:hAnsi="Times New Roman" w:cs="Times New Roman"/>
          </w:rPr>
          <w:fldChar w:fldCharType="begin"/>
        </w:r>
        <w:r w:rsidRPr="00C814D8">
          <w:rPr>
            <w:rFonts w:ascii="Times New Roman" w:hAnsi="Times New Roman" w:cs="Times New Roman"/>
          </w:rPr>
          <w:instrText xml:space="preserve"> PAGE   \* MERGEFORMAT </w:instrText>
        </w:r>
        <w:r w:rsidRPr="00C814D8">
          <w:rPr>
            <w:rFonts w:ascii="Times New Roman" w:hAnsi="Times New Roman" w:cs="Times New Roman"/>
          </w:rPr>
          <w:fldChar w:fldCharType="separate"/>
        </w:r>
        <w:r w:rsidRPr="00C814D8">
          <w:rPr>
            <w:rFonts w:ascii="Times New Roman" w:hAnsi="Times New Roman" w:cs="Times New Roman"/>
            <w:noProof/>
          </w:rPr>
          <w:t>2</w:t>
        </w:r>
        <w:r w:rsidRPr="00C814D8">
          <w:rPr>
            <w:rFonts w:ascii="Times New Roman" w:hAnsi="Times New Roman" w:cs="Times New Roman"/>
            <w:noProof/>
          </w:rPr>
          <w:fldChar w:fldCharType="end"/>
        </w:r>
      </w:p>
    </w:sdtContent>
  </w:sdt>
  <w:p w14:paraId="7E4C5A62" w14:textId="77777777" w:rsidR="00C814D8" w:rsidRDefault="00C814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51034" w14:textId="77777777" w:rsidR="006954A6" w:rsidRDefault="006954A6" w:rsidP="00C814D8">
      <w:pPr>
        <w:spacing w:after="0" w:line="240" w:lineRule="auto"/>
      </w:pPr>
      <w:r>
        <w:separator/>
      </w:r>
    </w:p>
  </w:footnote>
  <w:footnote w:type="continuationSeparator" w:id="0">
    <w:p w14:paraId="2AC9D019" w14:textId="77777777" w:rsidR="006954A6" w:rsidRDefault="006954A6" w:rsidP="00C814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C73DA"/>
    <w:multiLevelType w:val="hybridMultilevel"/>
    <w:tmpl w:val="796A47D6"/>
    <w:lvl w:ilvl="0" w:tplc="6D4EB328">
      <w:numFmt w:val="bullet"/>
      <w:lvlText w:val="-"/>
      <w:lvlJc w:val="left"/>
      <w:pPr>
        <w:ind w:left="390" w:hanging="360"/>
      </w:pPr>
      <w:rPr>
        <w:rFonts w:ascii="Aptos" w:eastAsiaTheme="minorHAnsi" w:hAnsi="Aptos" w:cstheme="minorBidi" w:hint="default"/>
        <w:sz w:val="16"/>
      </w:rPr>
    </w:lvl>
    <w:lvl w:ilvl="1" w:tplc="04090003" w:tentative="1">
      <w:start w:val="1"/>
      <w:numFmt w:val="bullet"/>
      <w:lvlText w:val="o"/>
      <w:lvlJc w:val="left"/>
      <w:pPr>
        <w:ind w:left="1110" w:hanging="360"/>
      </w:pPr>
      <w:rPr>
        <w:rFonts w:ascii="Courier New" w:hAnsi="Courier New" w:cs="Courier New" w:hint="default"/>
      </w:rPr>
    </w:lvl>
    <w:lvl w:ilvl="2" w:tplc="04090005" w:tentative="1">
      <w:start w:val="1"/>
      <w:numFmt w:val="bullet"/>
      <w:lvlText w:val=""/>
      <w:lvlJc w:val="left"/>
      <w:pPr>
        <w:ind w:left="1830" w:hanging="360"/>
      </w:pPr>
      <w:rPr>
        <w:rFonts w:ascii="Wingdings" w:hAnsi="Wingdings" w:hint="default"/>
      </w:rPr>
    </w:lvl>
    <w:lvl w:ilvl="3" w:tplc="04090001" w:tentative="1">
      <w:start w:val="1"/>
      <w:numFmt w:val="bullet"/>
      <w:lvlText w:val=""/>
      <w:lvlJc w:val="left"/>
      <w:pPr>
        <w:ind w:left="2550" w:hanging="360"/>
      </w:pPr>
      <w:rPr>
        <w:rFonts w:ascii="Symbol" w:hAnsi="Symbol" w:hint="default"/>
      </w:rPr>
    </w:lvl>
    <w:lvl w:ilvl="4" w:tplc="04090003" w:tentative="1">
      <w:start w:val="1"/>
      <w:numFmt w:val="bullet"/>
      <w:lvlText w:val="o"/>
      <w:lvlJc w:val="left"/>
      <w:pPr>
        <w:ind w:left="3270" w:hanging="360"/>
      </w:pPr>
      <w:rPr>
        <w:rFonts w:ascii="Courier New" w:hAnsi="Courier New" w:cs="Courier New" w:hint="default"/>
      </w:rPr>
    </w:lvl>
    <w:lvl w:ilvl="5" w:tplc="04090005" w:tentative="1">
      <w:start w:val="1"/>
      <w:numFmt w:val="bullet"/>
      <w:lvlText w:val=""/>
      <w:lvlJc w:val="left"/>
      <w:pPr>
        <w:ind w:left="3990" w:hanging="360"/>
      </w:pPr>
      <w:rPr>
        <w:rFonts w:ascii="Wingdings" w:hAnsi="Wingdings" w:hint="default"/>
      </w:rPr>
    </w:lvl>
    <w:lvl w:ilvl="6" w:tplc="04090001" w:tentative="1">
      <w:start w:val="1"/>
      <w:numFmt w:val="bullet"/>
      <w:lvlText w:val=""/>
      <w:lvlJc w:val="left"/>
      <w:pPr>
        <w:ind w:left="4710" w:hanging="360"/>
      </w:pPr>
      <w:rPr>
        <w:rFonts w:ascii="Symbol" w:hAnsi="Symbol" w:hint="default"/>
      </w:rPr>
    </w:lvl>
    <w:lvl w:ilvl="7" w:tplc="04090003" w:tentative="1">
      <w:start w:val="1"/>
      <w:numFmt w:val="bullet"/>
      <w:lvlText w:val="o"/>
      <w:lvlJc w:val="left"/>
      <w:pPr>
        <w:ind w:left="5430" w:hanging="360"/>
      </w:pPr>
      <w:rPr>
        <w:rFonts w:ascii="Courier New" w:hAnsi="Courier New" w:cs="Courier New" w:hint="default"/>
      </w:rPr>
    </w:lvl>
    <w:lvl w:ilvl="8" w:tplc="04090005" w:tentative="1">
      <w:start w:val="1"/>
      <w:numFmt w:val="bullet"/>
      <w:lvlText w:val=""/>
      <w:lvlJc w:val="left"/>
      <w:pPr>
        <w:ind w:left="6150" w:hanging="360"/>
      </w:pPr>
      <w:rPr>
        <w:rFonts w:ascii="Wingdings" w:hAnsi="Wingdings" w:hint="default"/>
      </w:rPr>
    </w:lvl>
  </w:abstractNum>
  <w:abstractNum w:abstractNumId="1" w15:restartNumberingAfterBreak="0">
    <w:nsid w:val="02B8079F"/>
    <w:multiLevelType w:val="hybridMultilevel"/>
    <w:tmpl w:val="3B221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D13AEE"/>
    <w:multiLevelType w:val="multilevel"/>
    <w:tmpl w:val="14AED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D2E79C4"/>
    <w:multiLevelType w:val="multilevel"/>
    <w:tmpl w:val="6734B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D67BAC"/>
    <w:multiLevelType w:val="multilevel"/>
    <w:tmpl w:val="B288A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9E210C"/>
    <w:multiLevelType w:val="hybridMultilevel"/>
    <w:tmpl w:val="0CE05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EAD3645"/>
    <w:multiLevelType w:val="multilevel"/>
    <w:tmpl w:val="88D6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D6604C"/>
    <w:multiLevelType w:val="hybridMultilevel"/>
    <w:tmpl w:val="58701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F885650"/>
    <w:multiLevelType w:val="multilevel"/>
    <w:tmpl w:val="1B525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0A64EA"/>
    <w:multiLevelType w:val="hybridMultilevel"/>
    <w:tmpl w:val="67102E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62423F5A"/>
    <w:multiLevelType w:val="multilevel"/>
    <w:tmpl w:val="214CA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3B15474"/>
    <w:multiLevelType w:val="hybridMultilevel"/>
    <w:tmpl w:val="59080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8DC0E31"/>
    <w:multiLevelType w:val="multilevel"/>
    <w:tmpl w:val="1B8E7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ACA07BE"/>
    <w:multiLevelType w:val="multilevel"/>
    <w:tmpl w:val="6E7058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D0E6DE6"/>
    <w:multiLevelType w:val="hybridMultilevel"/>
    <w:tmpl w:val="CC042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B2345CD"/>
    <w:multiLevelType w:val="multilevel"/>
    <w:tmpl w:val="0764D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6595948">
    <w:abstractNumId w:val="10"/>
  </w:num>
  <w:num w:numId="2" w16cid:durableId="1665671048">
    <w:abstractNumId w:val="6"/>
  </w:num>
  <w:num w:numId="3" w16cid:durableId="1581331194">
    <w:abstractNumId w:val="12"/>
  </w:num>
  <w:num w:numId="4" w16cid:durableId="318658953">
    <w:abstractNumId w:val="13"/>
  </w:num>
  <w:num w:numId="5" w16cid:durableId="1493057994">
    <w:abstractNumId w:val="3"/>
  </w:num>
  <w:num w:numId="6" w16cid:durableId="476997721">
    <w:abstractNumId w:val="2"/>
  </w:num>
  <w:num w:numId="7" w16cid:durableId="2007901204">
    <w:abstractNumId w:val="15"/>
  </w:num>
  <w:num w:numId="8" w16cid:durableId="2101174736">
    <w:abstractNumId w:val="8"/>
  </w:num>
  <w:num w:numId="9" w16cid:durableId="840893927">
    <w:abstractNumId w:val="4"/>
  </w:num>
  <w:num w:numId="10" w16cid:durableId="510796483">
    <w:abstractNumId w:val="9"/>
  </w:num>
  <w:num w:numId="11" w16cid:durableId="1945310264">
    <w:abstractNumId w:val="11"/>
  </w:num>
  <w:num w:numId="12" w16cid:durableId="1740051873">
    <w:abstractNumId w:val="1"/>
  </w:num>
  <w:num w:numId="13" w16cid:durableId="467015747">
    <w:abstractNumId w:val="14"/>
  </w:num>
  <w:num w:numId="14" w16cid:durableId="118960205">
    <w:abstractNumId w:val="5"/>
  </w:num>
  <w:num w:numId="15" w16cid:durableId="867335174">
    <w:abstractNumId w:val="7"/>
  </w:num>
  <w:num w:numId="16" w16cid:durableId="19685844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903"/>
    <w:rsid w:val="00001017"/>
    <w:rsid w:val="000151DC"/>
    <w:rsid w:val="00025546"/>
    <w:rsid w:val="000316C1"/>
    <w:rsid w:val="00031D15"/>
    <w:rsid w:val="0003207A"/>
    <w:rsid w:val="000344CF"/>
    <w:rsid w:val="00034D49"/>
    <w:rsid w:val="0003620F"/>
    <w:rsid w:val="00037172"/>
    <w:rsid w:val="00037CD3"/>
    <w:rsid w:val="000434A6"/>
    <w:rsid w:val="00044B04"/>
    <w:rsid w:val="00044CA4"/>
    <w:rsid w:val="00045876"/>
    <w:rsid w:val="0005076D"/>
    <w:rsid w:val="00051026"/>
    <w:rsid w:val="00053A03"/>
    <w:rsid w:val="000541EF"/>
    <w:rsid w:val="00054706"/>
    <w:rsid w:val="000563CB"/>
    <w:rsid w:val="0005719B"/>
    <w:rsid w:val="0006225C"/>
    <w:rsid w:val="000704FD"/>
    <w:rsid w:val="00070585"/>
    <w:rsid w:val="00070FF7"/>
    <w:rsid w:val="00071661"/>
    <w:rsid w:val="00073E43"/>
    <w:rsid w:val="0007733A"/>
    <w:rsid w:val="00077F4B"/>
    <w:rsid w:val="00081334"/>
    <w:rsid w:val="00084F21"/>
    <w:rsid w:val="00085C9F"/>
    <w:rsid w:val="00086252"/>
    <w:rsid w:val="000868BE"/>
    <w:rsid w:val="0008693A"/>
    <w:rsid w:val="0008720C"/>
    <w:rsid w:val="000916C4"/>
    <w:rsid w:val="000922E4"/>
    <w:rsid w:val="00093028"/>
    <w:rsid w:val="00093C10"/>
    <w:rsid w:val="000951F8"/>
    <w:rsid w:val="00095EFB"/>
    <w:rsid w:val="00096310"/>
    <w:rsid w:val="000A1A45"/>
    <w:rsid w:val="000A3682"/>
    <w:rsid w:val="000B0158"/>
    <w:rsid w:val="000B0A2F"/>
    <w:rsid w:val="000B1E9B"/>
    <w:rsid w:val="000B4109"/>
    <w:rsid w:val="000B49C0"/>
    <w:rsid w:val="000C01F3"/>
    <w:rsid w:val="000C0243"/>
    <w:rsid w:val="000C7256"/>
    <w:rsid w:val="000C7E0E"/>
    <w:rsid w:val="000D24C1"/>
    <w:rsid w:val="000D4B4C"/>
    <w:rsid w:val="000D6A51"/>
    <w:rsid w:val="000D74CF"/>
    <w:rsid w:val="000D7EEC"/>
    <w:rsid w:val="000E1A7A"/>
    <w:rsid w:val="000E4088"/>
    <w:rsid w:val="000E5257"/>
    <w:rsid w:val="000E5361"/>
    <w:rsid w:val="000E5468"/>
    <w:rsid w:val="000F6088"/>
    <w:rsid w:val="001002F9"/>
    <w:rsid w:val="00100670"/>
    <w:rsid w:val="00100BF3"/>
    <w:rsid w:val="001053DB"/>
    <w:rsid w:val="00107712"/>
    <w:rsid w:val="00107993"/>
    <w:rsid w:val="00112215"/>
    <w:rsid w:val="001124CE"/>
    <w:rsid w:val="0012207A"/>
    <w:rsid w:val="0012240D"/>
    <w:rsid w:val="00124CBA"/>
    <w:rsid w:val="001272F3"/>
    <w:rsid w:val="00127EF8"/>
    <w:rsid w:val="00131D3B"/>
    <w:rsid w:val="00136127"/>
    <w:rsid w:val="00136DD9"/>
    <w:rsid w:val="00137DC4"/>
    <w:rsid w:val="00140A47"/>
    <w:rsid w:val="001426AB"/>
    <w:rsid w:val="00145CF9"/>
    <w:rsid w:val="001509EE"/>
    <w:rsid w:val="00152B01"/>
    <w:rsid w:val="00157A4F"/>
    <w:rsid w:val="00161C52"/>
    <w:rsid w:val="00163687"/>
    <w:rsid w:val="0016602C"/>
    <w:rsid w:val="001674A6"/>
    <w:rsid w:val="00173334"/>
    <w:rsid w:val="00173FAD"/>
    <w:rsid w:val="00174FB8"/>
    <w:rsid w:val="00176F2C"/>
    <w:rsid w:val="0018498A"/>
    <w:rsid w:val="00185983"/>
    <w:rsid w:val="00185F73"/>
    <w:rsid w:val="00186DFF"/>
    <w:rsid w:val="0018752A"/>
    <w:rsid w:val="00190A72"/>
    <w:rsid w:val="0019208E"/>
    <w:rsid w:val="00192962"/>
    <w:rsid w:val="001930DC"/>
    <w:rsid w:val="0019348D"/>
    <w:rsid w:val="001A2F0D"/>
    <w:rsid w:val="001A3D9F"/>
    <w:rsid w:val="001B215D"/>
    <w:rsid w:val="001B4C20"/>
    <w:rsid w:val="001C0538"/>
    <w:rsid w:val="001C0CA7"/>
    <w:rsid w:val="001C2596"/>
    <w:rsid w:val="001C2C2B"/>
    <w:rsid w:val="001C496C"/>
    <w:rsid w:val="001C7782"/>
    <w:rsid w:val="001D19B8"/>
    <w:rsid w:val="001D1B23"/>
    <w:rsid w:val="001D404B"/>
    <w:rsid w:val="001E2F31"/>
    <w:rsid w:val="001E3582"/>
    <w:rsid w:val="001F203E"/>
    <w:rsid w:val="001F2370"/>
    <w:rsid w:val="001F2CF0"/>
    <w:rsid w:val="001F72E3"/>
    <w:rsid w:val="00200063"/>
    <w:rsid w:val="00200309"/>
    <w:rsid w:val="00201FB9"/>
    <w:rsid w:val="002020FE"/>
    <w:rsid w:val="002026D2"/>
    <w:rsid w:val="00202FC4"/>
    <w:rsid w:val="00203866"/>
    <w:rsid w:val="00204014"/>
    <w:rsid w:val="00205458"/>
    <w:rsid w:val="00207734"/>
    <w:rsid w:val="00210282"/>
    <w:rsid w:val="00211559"/>
    <w:rsid w:val="0021297C"/>
    <w:rsid w:val="00217B02"/>
    <w:rsid w:val="00217B6D"/>
    <w:rsid w:val="00220DC1"/>
    <w:rsid w:val="002212B6"/>
    <w:rsid w:val="00221C6A"/>
    <w:rsid w:val="0022346F"/>
    <w:rsid w:val="00224D69"/>
    <w:rsid w:val="002307D8"/>
    <w:rsid w:val="00231619"/>
    <w:rsid w:val="00231691"/>
    <w:rsid w:val="00235BAE"/>
    <w:rsid w:val="002407F7"/>
    <w:rsid w:val="0024515D"/>
    <w:rsid w:val="002451E3"/>
    <w:rsid w:val="00253274"/>
    <w:rsid w:val="00257F9F"/>
    <w:rsid w:val="00261873"/>
    <w:rsid w:val="00261DE7"/>
    <w:rsid w:val="00272783"/>
    <w:rsid w:val="00272FD9"/>
    <w:rsid w:val="00274A9F"/>
    <w:rsid w:val="002775EF"/>
    <w:rsid w:val="00277896"/>
    <w:rsid w:val="00283832"/>
    <w:rsid w:val="00284EE7"/>
    <w:rsid w:val="00285137"/>
    <w:rsid w:val="00286957"/>
    <w:rsid w:val="00286A65"/>
    <w:rsid w:val="00291062"/>
    <w:rsid w:val="002954C9"/>
    <w:rsid w:val="002955AB"/>
    <w:rsid w:val="002959A8"/>
    <w:rsid w:val="00296879"/>
    <w:rsid w:val="002A4280"/>
    <w:rsid w:val="002A68F1"/>
    <w:rsid w:val="002A70DF"/>
    <w:rsid w:val="002A7D55"/>
    <w:rsid w:val="002B0F23"/>
    <w:rsid w:val="002B1588"/>
    <w:rsid w:val="002B1E10"/>
    <w:rsid w:val="002B30CD"/>
    <w:rsid w:val="002B524B"/>
    <w:rsid w:val="002B6193"/>
    <w:rsid w:val="002B7321"/>
    <w:rsid w:val="002C0788"/>
    <w:rsid w:val="002C2573"/>
    <w:rsid w:val="002C4BB7"/>
    <w:rsid w:val="002C5373"/>
    <w:rsid w:val="002D18F3"/>
    <w:rsid w:val="002D2D79"/>
    <w:rsid w:val="002D4DEA"/>
    <w:rsid w:val="002D5204"/>
    <w:rsid w:val="002D6599"/>
    <w:rsid w:val="002E10F7"/>
    <w:rsid w:val="002E2F14"/>
    <w:rsid w:val="002E44DE"/>
    <w:rsid w:val="002E6EFA"/>
    <w:rsid w:val="002F0F39"/>
    <w:rsid w:val="002F3332"/>
    <w:rsid w:val="00300539"/>
    <w:rsid w:val="00300A08"/>
    <w:rsid w:val="00302903"/>
    <w:rsid w:val="00302C03"/>
    <w:rsid w:val="00302F0A"/>
    <w:rsid w:val="00303D96"/>
    <w:rsid w:val="00306C70"/>
    <w:rsid w:val="00313CE1"/>
    <w:rsid w:val="0031453F"/>
    <w:rsid w:val="003146E0"/>
    <w:rsid w:val="0031556D"/>
    <w:rsid w:val="0031618C"/>
    <w:rsid w:val="00324B93"/>
    <w:rsid w:val="00334CCD"/>
    <w:rsid w:val="00334F61"/>
    <w:rsid w:val="00336CA7"/>
    <w:rsid w:val="00337EA9"/>
    <w:rsid w:val="00345194"/>
    <w:rsid w:val="00347552"/>
    <w:rsid w:val="003511BE"/>
    <w:rsid w:val="003513B5"/>
    <w:rsid w:val="00353793"/>
    <w:rsid w:val="00353FF2"/>
    <w:rsid w:val="00357CE6"/>
    <w:rsid w:val="0036263D"/>
    <w:rsid w:val="00365510"/>
    <w:rsid w:val="00366CA1"/>
    <w:rsid w:val="00370E97"/>
    <w:rsid w:val="003717EF"/>
    <w:rsid w:val="003723DB"/>
    <w:rsid w:val="00383DCE"/>
    <w:rsid w:val="00384EEC"/>
    <w:rsid w:val="00393088"/>
    <w:rsid w:val="003934EB"/>
    <w:rsid w:val="0039534A"/>
    <w:rsid w:val="003972B8"/>
    <w:rsid w:val="003A07F1"/>
    <w:rsid w:val="003A0FC3"/>
    <w:rsid w:val="003A2183"/>
    <w:rsid w:val="003A2B13"/>
    <w:rsid w:val="003A36D8"/>
    <w:rsid w:val="003A47E8"/>
    <w:rsid w:val="003A4C53"/>
    <w:rsid w:val="003B08E7"/>
    <w:rsid w:val="003B0C66"/>
    <w:rsid w:val="003B1438"/>
    <w:rsid w:val="003B2839"/>
    <w:rsid w:val="003B7065"/>
    <w:rsid w:val="003C1068"/>
    <w:rsid w:val="003C3839"/>
    <w:rsid w:val="003D17FE"/>
    <w:rsid w:val="003D6C62"/>
    <w:rsid w:val="003E1451"/>
    <w:rsid w:val="003E3B57"/>
    <w:rsid w:val="003E51F6"/>
    <w:rsid w:val="003E6DB8"/>
    <w:rsid w:val="003E7300"/>
    <w:rsid w:val="003E7EAE"/>
    <w:rsid w:val="003F0272"/>
    <w:rsid w:val="003F0A48"/>
    <w:rsid w:val="003F210C"/>
    <w:rsid w:val="003F6D86"/>
    <w:rsid w:val="00403D61"/>
    <w:rsid w:val="00413C7F"/>
    <w:rsid w:val="00413E18"/>
    <w:rsid w:val="00415997"/>
    <w:rsid w:val="00420589"/>
    <w:rsid w:val="00425D2E"/>
    <w:rsid w:val="00432639"/>
    <w:rsid w:val="0043714B"/>
    <w:rsid w:val="00437538"/>
    <w:rsid w:val="004402B1"/>
    <w:rsid w:val="00440649"/>
    <w:rsid w:val="00440AA1"/>
    <w:rsid w:val="00440C01"/>
    <w:rsid w:val="00440FAB"/>
    <w:rsid w:val="00441D24"/>
    <w:rsid w:val="00442BFC"/>
    <w:rsid w:val="00443410"/>
    <w:rsid w:val="0044348C"/>
    <w:rsid w:val="00443EBD"/>
    <w:rsid w:val="004441CF"/>
    <w:rsid w:val="00446FBE"/>
    <w:rsid w:val="00454776"/>
    <w:rsid w:val="00454792"/>
    <w:rsid w:val="00455993"/>
    <w:rsid w:val="004570EF"/>
    <w:rsid w:val="0045770B"/>
    <w:rsid w:val="004628B3"/>
    <w:rsid w:val="00462AB0"/>
    <w:rsid w:val="0046423A"/>
    <w:rsid w:val="00466F49"/>
    <w:rsid w:val="004703D0"/>
    <w:rsid w:val="004707E7"/>
    <w:rsid w:val="00472F97"/>
    <w:rsid w:val="00473964"/>
    <w:rsid w:val="00473F2B"/>
    <w:rsid w:val="00480110"/>
    <w:rsid w:val="0048274A"/>
    <w:rsid w:val="00484B29"/>
    <w:rsid w:val="00484CEF"/>
    <w:rsid w:val="0048718E"/>
    <w:rsid w:val="00494791"/>
    <w:rsid w:val="00494BFD"/>
    <w:rsid w:val="004A0A52"/>
    <w:rsid w:val="004A2037"/>
    <w:rsid w:val="004A34EB"/>
    <w:rsid w:val="004A3C9A"/>
    <w:rsid w:val="004A77A4"/>
    <w:rsid w:val="004A7C4A"/>
    <w:rsid w:val="004B0F9A"/>
    <w:rsid w:val="004B2468"/>
    <w:rsid w:val="004B27B0"/>
    <w:rsid w:val="004B3CE1"/>
    <w:rsid w:val="004B3F5C"/>
    <w:rsid w:val="004B4762"/>
    <w:rsid w:val="004C0C1B"/>
    <w:rsid w:val="004C510C"/>
    <w:rsid w:val="004C55AB"/>
    <w:rsid w:val="004C580C"/>
    <w:rsid w:val="004C597C"/>
    <w:rsid w:val="004D08ED"/>
    <w:rsid w:val="004E088B"/>
    <w:rsid w:val="004E2096"/>
    <w:rsid w:val="004E2142"/>
    <w:rsid w:val="004E4921"/>
    <w:rsid w:val="004E4EB8"/>
    <w:rsid w:val="004E7984"/>
    <w:rsid w:val="004F2C4F"/>
    <w:rsid w:val="004F7C4A"/>
    <w:rsid w:val="0050783D"/>
    <w:rsid w:val="00511162"/>
    <w:rsid w:val="005113DD"/>
    <w:rsid w:val="0051355C"/>
    <w:rsid w:val="00516F6A"/>
    <w:rsid w:val="0052031F"/>
    <w:rsid w:val="00520C55"/>
    <w:rsid w:val="00524698"/>
    <w:rsid w:val="00537F57"/>
    <w:rsid w:val="00541244"/>
    <w:rsid w:val="005421E2"/>
    <w:rsid w:val="00543885"/>
    <w:rsid w:val="005500C8"/>
    <w:rsid w:val="00550548"/>
    <w:rsid w:val="00550AE6"/>
    <w:rsid w:val="0055254A"/>
    <w:rsid w:val="00553A0B"/>
    <w:rsid w:val="005569A3"/>
    <w:rsid w:val="005570D1"/>
    <w:rsid w:val="00560616"/>
    <w:rsid w:val="0056086E"/>
    <w:rsid w:val="005631A0"/>
    <w:rsid w:val="0056338C"/>
    <w:rsid w:val="005653B6"/>
    <w:rsid w:val="005704EC"/>
    <w:rsid w:val="005719E9"/>
    <w:rsid w:val="005743FE"/>
    <w:rsid w:val="00574FA3"/>
    <w:rsid w:val="005753C5"/>
    <w:rsid w:val="00576A67"/>
    <w:rsid w:val="00577CDB"/>
    <w:rsid w:val="0058184B"/>
    <w:rsid w:val="0058419C"/>
    <w:rsid w:val="00584255"/>
    <w:rsid w:val="005847C7"/>
    <w:rsid w:val="00585978"/>
    <w:rsid w:val="00586C6C"/>
    <w:rsid w:val="00590F2D"/>
    <w:rsid w:val="00591570"/>
    <w:rsid w:val="00592180"/>
    <w:rsid w:val="005A07FD"/>
    <w:rsid w:val="005A53C5"/>
    <w:rsid w:val="005A7BB1"/>
    <w:rsid w:val="005C446F"/>
    <w:rsid w:val="005D0581"/>
    <w:rsid w:val="005D12EE"/>
    <w:rsid w:val="005D1D81"/>
    <w:rsid w:val="005D1DEB"/>
    <w:rsid w:val="005D311A"/>
    <w:rsid w:val="005D7682"/>
    <w:rsid w:val="005E63FB"/>
    <w:rsid w:val="005E75D0"/>
    <w:rsid w:val="005E7E9E"/>
    <w:rsid w:val="005F01C3"/>
    <w:rsid w:val="005F19B1"/>
    <w:rsid w:val="005F3F72"/>
    <w:rsid w:val="005F450D"/>
    <w:rsid w:val="005F4A58"/>
    <w:rsid w:val="00601E14"/>
    <w:rsid w:val="006024BA"/>
    <w:rsid w:val="0060381B"/>
    <w:rsid w:val="00605546"/>
    <w:rsid w:val="00605E71"/>
    <w:rsid w:val="0060684C"/>
    <w:rsid w:val="00616ACD"/>
    <w:rsid w:val="0062473B"/>
    <w:rsid w:val="00624746"/>
    <w:rsid w:val="00624A31"/>
    <w:rsid w:val="00633285"/>
    <w:rsid w:val="00634EEB"/>
    <w:rsid w:val="00637878"/>
    <w:rsid w:val="006417BF"/>
    <w:rsid w:val="00646D03"/>
    <w:rsid w:val="00650796"/>
    <w:rsid w:val="00650903"/>
    <w:rsid w:val="006620AC"/>
    <w:rsid w:val="00663070"/>
    <w:rsid w:val="006638A9"/>
    <w:rsid w:val="00667595"/>
    <w:rsid w:val="00671705"/>
    <w:rsid w:val="00673F36"/>
    <w:rsid w:val="0067444A"/>
    <w:rsid w:val="006747F9"/>
    <w:rsid w:val="006769C4"/>
    <w:rsid w:val="0068183C"/>
    <w:rsid w:val="006856B5"/>
    <w:rsid w:val="00685A4F"/>
    <w:rsid w:val="00686C4C"/>
    <w:rsid w:val="00687755"/>
    <w:rsid w:val="0068793B"/>
    <w:rsid w:val="006916FC"/>
    <w:rsid w:val="00693E76"/>
    <w:rsid w:val="006954A6"/>
    <w:rsid w:val="006963BF"/>
    <w:rsid w:val="006A1FB7"/>
    <w:rsid w:val="006A22D4"/>
    <w:rsid w:val="006A40F5"/>
    <w:rsid w:val="006A73B5"/>
    <w:rsid w:val="006B2DAE"/>
    <w:rsid w:val="006B388F"/>
    <w:rsid w:val="006B4DBC"/>
    <w:rsid w:val="006B5818"/>
    <w:rsid w:val="006B607B"/>
    <w:rsid w:val="006C05B6"/>
    <w:rsid w:val="006C0C94"/>
    <w:rsid w:val="006C1314"/>
    <w:rsid w:val="006C3994"/>
    <w:rsid w:val="006C63C8"/>
    <w:rsid w:val="006D0A2E"/>
    <w:rsid w:val="006D22CD"/>
    <w:rsid w:val="006D6870"/>
    <w:rsid w:val="006D7B9C"/>
    <w:rsid w:val="006E3AA1"/>
    <w:rsid w:val="006E3AB9"/>
    <w:rsid w:val="006E700B"/>
    <w:rsid w:val="006E7F3E"/>
    <w:rsid w:val="006F08C9"/>
    <w:rsid w:val="006F2162"/>
    <w:rsid w:val="006F4B77"/>
    <w:rsid w:val="006F518C"/>
    <w:rsid w:val="006F53C2"/>
    <w:rsid w:val="006F7B26"/>
    <w:rsid w:val="0070083E"/>
    <w:rsid w:val="00701219"/>
    <w:rsid w:val="007018C8"/>
    <w:rsid w:val="00702F19"/>
    <w:rsid w:val="00704D14"/>
    <w:rsid w:val="0070506F"/>
    <w:rsid w:val="00706394"/>
    <w:rsid w:val="00707C50"/>
    <w:rsid w:val="00707F04"/>
    <w:rsid w:val="00717B68"/>
    <w:rsid w:val="00720213"/>
    <w:rsid w:val="007220C9"/>
    <w:rsid w:val="0072273D"/>
    <w:rsid w:val="0072280A"/>
    <w:rsid w:val="00724A10"/>
    <w:rsid w:val="00724F13"/>
    <w:rsid w:val="00725373"/>
    <w:rsid w:val="00730A74"/>
    <w:rsid w:val="00732378"/>
    <w:rsid w:val="007331EA"/>
    <w:rsid w:val="007365EB"/>
    <w:rsid w:val="007375FB"/>
    <w:rsid w:val="007402DF"/>
    <w:rsid w:val="007408B2"/>
    <w:rsid w:val="0074105C"/>
    <w:rsid w:val="007433D3"/>
    <w:rsid w:val="00750689"/>
    <w:rsid w:val="00751CAC"/>
    <w:rsid w:val="00755AB5"/>
    <w:rsid w:val="00755C57"/>
    <w:rsid w:val="007565ED"/>
    <w:rsid w:val="00756D93"/>
    <w:rsid w:val="00757014"/>
    <w:rsid w:val="00760071"/>
    <w:rsid w:val="00761158"/>
    <w:rsid w:val="007618DA"/>
    <w:rsid w:val="007639B7"/>
    <w:rsid w:val="00763C40"/>
    <w:rsid w:val="007642F9"/>
    <w:rsid w:val="0076633F"/>
    <w:rsid w:val="00766613"/>
    <w:rsid w:val="00770AAB"/>
    <w:rsid w:val="00771A45"/>
    <w:rsid w:val="00772588"/>
    <w:rsid w:val="00774C5F"/>
    <w:rsid w:val="00775166"/>
    <w:rsid w:val="00775B9D"/>
    <w:rsid w:val="00775E1C"/>
    <w:rsid w:val="00777F35"/>
    <w:rsid w:val="00785039"/>
    <w:rsid w:val="0078524A"/>
    <w:rsid w:val="0078544B"/>
    <w:rsid w:val="00786D71"/>
    <w:rsid w:val="0079282F"/>
    <w:rsid w:val="007935E0"/>
    <w:rsid w:val="007966B0"/>
    <w:rsid w:val="007A15B7"/>
    <w:rsid w:val="007A21A4"/>
    <w:rsid w:val="007A4CDA"/>
    <w:rsid w:val="007A50DD"/>
    <w:rsid w:val="007A67AC"/>
    <w:rsid w:val="007B5304"/>
    <w:rsid w:val="007C0DFC"/>
    <w:rsid w:val="007C20D4"/>
    <w:rsid w:val="007C222C"/>
    <w:rsid w:val="007D14C2"/>
    <w:rsid w:val="007D15D6"/>
    <w:rsid w:val="007E1BC0"/>
    <w:rsid w:val="007E20C0"/>
    <w:rsid w:val="007E2465"/>
    <w:rsid w:val="007E49C1"/>
    <w:rsid w:val="007E7305"/>
    <w:rsid w:val="007E7749"/>
    <w:rsid w:val="007F004D"/>
    <w:rsid w:val="007F0E6C"/>
    <w:rsid w:val="007F376B"/>
    <w:rsid w:val="007F460E"/>
    <w:rsid w:val="008033D4"/>
    <w:rsid w:val="008067B0"/>
    <w:rsid w:val="0080744E"/>
    <w:rsid w:val="00815BBE"/>
    <w:rsid w:val="00817455"/>
    <w:rsid w:val="00817B18"/>
    <w:rsid w:val="00817DC0"/>
    <w:rsid w:val="008243D9"/>
    <w:rsid w:val="008246EF"/>
    <w:rsid w:val="00827098"/>
    <w:rsid w:val="008272ED"/>
    <w:rsid w:val="00827F3A"/>
    <w:rsid w:val="00830B6A"/>
    <w:rsid w:val="008320FD"/>
    <w:rsid w:val="00832864"/>
    <w:rsid w:val="00832AD4"/>
    <w:rsid w:val="00833B5E"/>
    <w:rsid w:val="00840D9E"/>
    <w:rsid w:val="00841531"/>
    <w:rsid w:val="00844CBF"/>
    <w:rsid w:val="0085176B"/>
    <w:rsid w:val="00851999"/>
    <w:rsid w:val="0085199C"/>
    <w:rsid w:val="00853F37"/>
    <w:rsid w:val="008616EC"/>
    <w:rsid w:val="00862190"/>
    <w:rsid w:val="00863330"/>
    <w:rsid w:val="008633A7"/>
    <w:rsid w:val="0086392B"/>
    <w:rsid w:val="00865CFF"/>
    <w:rsid w:val="008723E5"/>
    <w:rsid w:val="00873851"/>
    <w:rsid w:val="008744CF"/>
    <w:rsid w:val="00882415"/>
    <w:rsid w:val="0088390D"/>
    <w:rsid w:val="008860BE"/>
    <w:rsid w:val="00886608"/>
    <w:rsid w:val="0089011C"/>
    <w:rsid w:val="008912A4"/>
    <w:rsid w:val="00891678"/>
    <w:rsid w:val="00891C26"/>
    <w:rsid w:val="00893E9C"/>
    <w:rsid w:val="0089492F"/>
    <w:rsid w:val="0089615A"/>
    <w:rsid w:val="00897F35"/>
    <w:rsid w:val="008A1120"/>
    <w:rsid w:val="008A2B1A"/>
    <w:rsid w:val="008A3A23"/>
    <w:rsid w:val="008A3EB7"/>
    <w:rsid w:val="008A470C"/>
    <w:rsid w:val="008B0B3B"/>
    <w:rsid w:val="008B0E5A"/>
    <w:rsid w:val="008B1E67"/>
    <w:rsid w:val="008B2A7D"/>
    <w:rsid w:val="008B55E0"/>
    <w:rsid w:val="008B5945"/>
    <w:rsid w:val="008B6030"/>
    <w:rsid w:val="008B6A6B"/>
    <w:rsid w:val="008C1A85"/>
    <w:rsid w:val="008C1E54"/>
    <w:rsid w:val="008C34ED"/>
    <w:rsid w:val="008C5021"/>
    <w:rsid w:val="008D05B5"/>
    <w:rsid w:val="008D148B"/>
    <w:rsid w:val="008D1B2E"/>
    <w:rsid w:val="008D2920"/>
    <w:rsid w:val="008D4E01"/>
    <w:rsid w:val="008E1448"/>
    <w:rsid w:val="008E2A1E"/>
    <w:rsid w:val="008E3548"/>
    <w:rsid w:val="008E430E"/>
    <w:rsid w:val="008E5CC0"/>
    <w:rsid w:val="008E7090"/>
    <w:rsid w:val="008E76A7"/>
    <w:rsid w:val="008F0220"/>
    <w:rsid w:val="008F1264"/>
    <w:rsid w:val="008F259C"/>
    <w:rsid w:val="008F2E5A"/>
    <w:rsid w:val="008F5C8A"/>
    <w:rsid w:val="00905295"/>
    <w:rsid w:val="0090721D"/>
    <w:rsid w:val="00914194"/>
    <w:rsid w:val="00915B54"/>
    <w:rsid w:val="00920779"/>
    <w:rsid w:val="009235F5"/>
    <w:rsid w:val="0092570F"/>
    <w:rsid w:val="00925906"/>
    <w:rsid w:val="00925CDB"/>
    <w:rsid w:val="00926F26"/>
    <w:rsid w:val="0093208F"/>
    <w:rsid w:val="0093457B"/>
    <w:rsid w:val="009350C8"/>
    <w:rsid w:val="00937E49"/>
    <w:rsid w:val="0094319F"/>
    <w:rsid w:val="009452E7"/>
    <w:rsid w:val="009453AA"/>
    <w:rsid w:val="009470C1"/>
    <w:rsid w:val="00952717"/>
    <w:rsid w:val="00952BF7"/>
    <w:rsid w:val="00954094"/>
    <w:rsid w:val="009604E0"/>
    <w:rsid w:val="009611C5"/>
    <w:rsid w:val="00961EC4"/>
    <w:rsid w:val="009640E2"/>
    <w:rsid w:val="00966A3A"/>
    <w:rsid w:val="00967FB8"/>
    <w:rsid w:val="00971A78"/>
    <w:rsid w:val="009746EF"/>
    <w:rsid w:val="00975F50"/>
    <w:rsid w:val="00977471"/>
    <w:rsid w:val="0098169B"/>
    <w:rsid w:val="00984AD3"/>
    <w:rsid w:val="00984B37"/>
    <w:rsid w:val="00985C67"/>
    <w:rsid w:val="009869C5"/>
    <w:rsid w:val="00993899"/>
    <w:rsid w:val="00997E20"/>
    <w:rsid w:val="009A3F23"/>
    <w:rsid w:val="009A6E85"/>
    <w:rsid w:val="009B429A"/>
    <w:rsid w:val="009C317C"/>
    <w:rsid w:val="009C55DF"/>
    <w:rsid w:val="009C7D89"/>
    <w:rsid w:val="009D0345"/>
    <w:rsid w:val="009D17A8"/>
    <w:rsid w:val="009D1F59"/>
    <w:rsid w:val="009D3A31"/>
    <w:rsid w:val="009D4455"/>
    <w:rsid w:val="009D5364"/>
    <w:rsid w:val="009D6C7C"/>
    <w:rsid w:val="009D7079"/>
    <w:rsid w:val="009E174F"/>
    <w:rsid w:val="009F239D"/>
    <w:rsid w:val="009F431E"/>
    <w:rsid w:val="009F60F6"/>
    <w:rsid w:val="009F73FF"/>
    <w:rsid w:val="009F779D"/>
    <w:rsid w:val="00A0359B"/>
    <w:rsid w:val="00A048C6"/>
    <w:rsid w:val="00A05F9A"/>
    <w:rsid w:val="00A11AA1"/>
    <w:rsid w:val="00A16517"/>
    <w:rsid w:val="00A201F7"/>
    <w:rsid w:val="00A206C1"/>
    <w:rsid w:val="00A21B5D"/>
    <w:rsid w:val="00A22101"/>
    <w:rsid w:val="00A25EB1"/>
    <w:rsid w:val="00A3149B"/>
    <w:rsid w:val="00A33B1D"/>
    <w:rsid w:val="00A3414B"/>
    <w:rsid w:val="00A34553"/>
    <w:rsid w:val="00A36930"/>
    <w:rsid w:val="00A41262"/>
    <w:rsid w:val="00A4549D"/>
    <w:rsid w:val="00A52BDF"/>
    <w:rsid w:val="00A53D6F"/>
    <w:rsid w:val="00A54511"/>
    <w:rsid w:val="00A62053"/>
    <w:rsid w:val="00A65A03"/>
    <w:rsid w:val="00A712BA"/>
    <w:rsid w:val="00A71E6E"/>
    <w:rsid w:val="00A74A92"/>
    <w:rsid w:val="00A75365"/>
    <w:rsid w:val="00A77CAC"/>
    <w:rsid w:val="00A80AC7"/>
    <w:rsid w:val="00A853B2"/>
    <w:rsid w:val="00A86857"/>
    <w:rsid w:val="00A87EB9"/>
    <w:rsid w:val="00A9034F"/>
    <w:rsid w:val="00A9048E"/>
    <w:rsid w:val="00A91AB5"/>
    <w:rsid w:val="00A941BB"/>
    <w:rsid w:val="00A94D68"/>
    <w:rsid w:val="00A94DD7"/>
    <w:rsid w:val="00A952AB"/>
    <w:rsid w:val="00A96289"/>
    <w:rsid w:val="00AA1F66"/>
    <w:rsid w:val="00AA2487"/>
    <w:rsid w:val="00AA6572"/>
    <w:rsid w:val="00AA70BD"/>
    <w:rsid w:val="00AB202D"/>
    <w:rsid w:val="00AB7C2C"/>
    <w:rsid w:val="00AC00A5"/>
    <w:rsid w:val="00AC05E6"/>
    <w:rsid w:val="00AC0A99"/>
    <w:rsid w:val="00AC134D"/>
    <w:rsid w:val="00AC54DE"/>
    <w:rsid w:val="00AC7022"/>
    <w:rsid w:val="00AC7160"/>
    <w:rsid w:val="00AD08CD"/>
    <w:rsid w:val="00AD4E77"/>
    <w:rsid w:val="00AE4695"/>
    <w:rsid w:val="00AE635E"/>
    <w:rsid w:val="00AE67DA"/>
    <w:rsid w:val="00AE6ACA"/>
    <w:rsid w:val="00AF1412"/>
    <w:rsid w:val="00AF297D"/>
    <w:rsid w:val="00AF4E73"/>
    <w:rsid w:val="00AF5ED1"/>
    <w:rsid w:val="00B004C1"/>
    <w:rsid w:val="00B01662"/>
    <w:rsid w:val="00B01B1A"/>
    <w:rsid w:val="00B03757"/>
    <w:rsid w:val="00B06959"/>
    <w:rsid w:val="00B1023C"/>
    <w:rsid w:val="00B13F0E"/>
    <w:rsid w:val="00B1664F"/>
    <w:rsid w:val="00B17487"/>
    <w:rsid w:val="00B218FB"/>
    <w:rsid w:val="00B225B2"/>
    <w:rsid w:val="00B253EE"/>
    <w:rsid w:val="00B25A2D"/>
    <w:rsid w:val="00B27192"/>
    <w:rsid w:val="00B306C8"/>
    <w:rsid w:val="00B31ADE"/>
    <w:rsid w:val="00B35BFC"/>
    <w:rsid w:val="00B40A38"/>
    <w:rsid w:val="00B4181A"/>
    <w:rsid w:val="00B42AFE"/>
    <w:rsid w:val="00B448A1"/>
    <w:rsid w:val="00B45576"/>
    <w:rsid w:val="00B474AC"/>
    <w:rsid w:val="00B50959"/>
    <w:rsid w:val="00B50A26"/>
    <w:rsid w:val="00B533CE"/>
    <w:rsid w:val="00B53BC9"/>
    <w:rsid w:val="00B56142"/>
    <w:rsid w:val="00B60BEC"/>
    <w:rsid w:val="00B634FB"/>
    <w:rsid w:val="00B65218"/>
    <w:rsid w:val="00B658EE"/>
    <w:rsid w:val="00B67513"/>
    <w:rsid w:val="00B70EC6"/>
    <w:rsid w:val="00B7404B"/>
    <w:rsid w:val="00B7511C"/>
    <w:rsid w:val="00B75EB1"/>
    <w:rsid w:val="00B76D09"/>
    <w:rsid w:val="00B7769D"/>
    <w:rsid w:val="00B778FF"/>
    <w:rsid w:val="00B82939"/>
    <w:rsid w:val="00B842A8"/>
    <w:rsid w:val="00B865A0"/>
    <w:rsid w:val="00B878FE"/>
    <w:rsid w:val="00B905C1"/>
    <w:rsid w:val="00B918C8"/>
    <w:rsid w:val="00B9513C"/>
    <w:rsid w:val="00B96E05"/>
    <w:rsid w:val="00BA50F2"/>
    <w:rsid w:val="00BA697E"/>
    <w:rsid w:val="00BA6D4E"/>
    <w:rsid w:val="00BA7EF6"/>
    <w:rsid w:val="00BB5451"/>
    <w:rsid w:val="00BB5913"/>
    <w:rsid w:val="00BB5BAB"/>
    <w:rsid w:val="00BC0035"/>
    <w:rsid w:val="00BC0A0C"/>
    <w:rsid w:val="00BC51CE"/>
    <w:rsid w:val="00BC6E5C"/>
    <w:rsid w:val="00BC74D6"/>
    <w:rsid w:val="00BD0ABF"/>
    <w:rsid w:val="00BD128B"/>
    <w:rsid w:val="00BD1BF8"/>
    <w:rsid w:val="00BD1C25"/>
    <w:rsid w:val="00BD1DC4"/>
    <w:rsid w:val="00BD4692"/>
    <w:rsid w:val="00BD46FF"/>
    <w:rsid w:val="00BD4D5B"/>
    <w:rsid w:val="00BD52F9"/>
    <w:rsid w:val="00BD58A7"/>
    <w:rsid w:val="00BD6EA7"/>
    <w:rsid w:val="00BD7859"/>
    <w:rsid w:val="00BE1884"/>
    <w:rsid w:val="00BE3FCF"/>
    <w:rsid w:val="00BE57C9"/>
    <w:rsid w:val="00BE6645"/>
    <w:rsid w:val="00BF3DB1"/>
    <w:rsid w:val="00BF72EC"/>
    <w:rsid w:val="00BF7480"/>
    <w:rsid w:val="00C04F22"/>
    <w:rsid w:val="00C05B56"/>
    <w:rsid w:val="00C10080"/>
    <w:rsid w:val="00C1112C"/>
    <w:rsid w:val="00C14068"/>
    <w:rsid w:val="00C21421"/>
    <w:rsid w:val="00C22D2C"/>
    <w:rsid w:val="00C22EB3"/>
    <w:rsid w:val="00C23066"/>
    <w:rsid w:val="00C2379B"/>
    <w:rsid w:val="00C26A0A"/>
    <w:rsid w:val="00C30306"/>
    <w:rsid w:val="00C322BC"/>
    <w:rsid w:val="00C34740"/>
    <w:rsid w:val="00C37A96"/>
    <w:rsid w:val="00C42235"/>
    <w:rsid w:val="00C43798"/>
    <w:rsid w:val="00C43F24"/>
    <w:rsid w:val="00C45C60"/>
    <w:rsid w:val="00C45EA8"/>
    <w:rsid w:val="00C5141E"/>
    <w:rsid w:val="00C60484"/>
    <w:rsid w:val="00C625E8"/>
    <w:rsid w:val="00C639FA"/>
    <w:rsid w:val="00C63C4C"/>
    <w:rsid w:val="00C65542"/>
    <w:rsid w:val="00C66F5B"/>
    <w:rsid w:val="00C6771C"/>
    <w:rsid w:val="00C70E37"/>
    <w:rsid w:val="00C710B4"/>
    <w:rsid w:val="00C74BB5"/>
    <w:rsid w:val="00C75DD3"/>
    <w:rsid w:val="00C76084"/>
    <w:rsid w:val="00C814D8"/>
    <w:rsid w:val="00C82333"/>
    <w:rsid w:val="00C84A53"/>
    <w:rsid w:val="00C86449"/>
    <w:rsid w:val="00C90D90"/>
    <w:rsid w:val="00C946CF"/>
    <w:rsid w:val="00C94820"/>
    <w:rsid w:val="00C953D7"/>
    <w:rsid w:val="00C95886"/>
    <w:rsid w:val="00C9603E"/>
    <w:rsid w:val="00CA24A8"/>
    <w:rsid w:val="00CA50F5"/>
    <w:rsid w:val="00CB12D1"/>
    <w:rsid w:val="00CB4D3E"/>
    <w:rsid w:val="00CB584A"/>
    <w:rsid w:val="00CC1678"/>
    <w:rsid w:val="00CC2470"/>
    <w:rsid w:val="00CC3E59"/>
    <w:rsid w:val="00CC6EFA"/>
    <w:rsid w:val="00CC782F"/>
    <w:rsid w:val="00CD2671"/>
    <w:rsid w:val="00CD273F"/>
    <w:rsid w:val="00CD366D"/>
    <w:rsid w:val="00CD36A3"/>
    <w:rsid w:val="00CD3888"/>
    <w:rsid w:val="00CD5B44"/>
    <w:rsid w:val="00CD6A3F"/>
    <w:rsid w:val="00CD78A8"/>
    <w:rsid w:val="00CD79C3"/>
    <w:rsid w:val="00CE3835"/>
    <w:rsid w:val="00CF0004"/>
    <w:rsid w:val="00CF02C9"/>
    <w:rsid w:val="00CF0BAA"/>
    <w:rsid w:val="00CF19EF"/>
    <w:rsid w:val="00CF501E"/>
    <w:rsid w:val="00CF5612"/>
    <w:rsid w:val="00CF61BB"/>
    <w:rsid w:val="00CF6BFC"/>
    <w:rsid w:val="00D0093F"/>
    <w:rsid w:val="00D01B71"/>
    <w:rsid w:val="00D05D40"/>
    <w:rsid w:val="00D105F0"/>
    <w:rsid w:val="00D122B2"/>
    <w:rsid w:val="00D14C9E"/>
    <w:rsid w:val="00D15239"/>
    <w:rsid w:val="00D16407"/>
    <w:rsid w:val="00D16AAA"/>
    <w:rsid w:val="00D170E5"/>
    <w:rsid w:val="00D223B2"/>
    <w:rsid w:val="00D24C09"/>
    <w:rsid w:val="00D25092"/>
    <w:rsid w:val="00D26CC2"/>
    <w:rsid w:val="00D2725D"/>
    <w:rsid w:val="00D27916"/>
    <w:rsid w:val="00D30E1A"/>
    <w:rsid w:val="00D33F76"/>
    <w:rsid w:val="00D365BF"/>
    <w:rsid w:val="00D37CD0"/>
    <w:rsid w:val="00D44DDE"/>
    <w:rsid w:val="00D45F5D"/>
    <w:rsid w:val="00D507A7"/>
    <w:rsid w:val="00D60618"/>
    <w:rsid w:val="00D606C0"/>
    <w:rsid w:val="00D61D4E"/>
    <w:rsid w:val="00D62626"/>
    <w:rsid w:val="00D64601"/>
    <w:rsid w:val="00D65A58"/>
    <w:rsid w:val="00D66F6A"/>
    <w:rsid w:val="00D71874"/>
    <w:rsid w:val="00D74F60"/>
    <w:rsid w:val="00D77BC0"/>
    <w:rsid w:val="00D80643"/>
    <w:rsid w:val="00D84319"/>
    <w:rsid w:val="00D866A5"/>
    <w:rsid w:val="00D902BD"/>
    <w:rsid w:val="00D92637"/>
    <w:rsid w:val="00D93180"/>
    <w:rsid w:val="00D938DF"/>
    <w:rsid w:val="00D940F0"/>
    <w:rsid w:val="00D97D31"/>
    <w:rsid w:val="00DA15CA"/>
    <w:rsid w:val="00DA3238"/>
    <w:rsid w:val="00DA6AB5"/>
    <w:rsid w:val="00DB13D0"/>
    <w:rsid w:val="00DB3E4D"/>
    <w:rsid w:val="00DB60C4"/>
    <w:rsid w:val="00DB70DC"/>
    <w:rsid w:val="00DB75A6"/>
    <w:rsid w:val="00DC11FB"/>
    <w:rsid w:val="00DC344D"/>
    <w:rsid w:val="00DD1316"/>
    <w:rsid w:val="00DD4976"/>
    <w:rsid w:val="00DD49DB"/>
    <w:rsid w:val="00DD55E9"/>
    <w:rsid w:val="00DD5883"/>
    <w:rsid w:val="00DE126E"/>
    <w:rsid w:val="00DE14A6"/>
    <w:rsid w:val="00DE1BC3"/>
    <w:rsid w:val="00DE5748"/>
    <w:rsid w:val="00DE58F4"/>
    <w:rsid w:val="00DE754A"/>
    <w:rsid w:val="00DF1B87"/>
    <w:rsid w:val="00DF6EC7"/>
    <w:rsid w:val="00DF7905"/>
    <w:rsid w:val="00E007D2"/>
    <w:rsid w:val="00E01E23"/>
    <w:rsid w:val="00E03486"/>
    <w:rsid w:val="00E0492A"/>
    <w:rsid w:val="00E06E4B"/>
    <w:rsid w:val="00E102FC"/>
    <w:rsid w:val="00E21711"/>
    <w:rsid w:val="00E22AF0"/>
    <w:rsid w:val="00E231A8"/>
    <w:rsid w:val="00E26BE3"/>
    <w:rsid w:val="00E30205"/>
    <w:rsid w:val="00E3084B"/>
    <w:rsid w:val="00E30E30"/>
    <w:rsid w:val="00E34323"/>
    <w:rsid w:val="00E35CD4"/>
    <w:rsid w:val="00E360A8"/>
    <w:rsid w:val="00E42517"/>
    <w:rsid w:val="00E4278A"/>
    <w:rsid w:val="00E445C4"/>
    <w:rsid w:val="00E46DB7"/>
    <w:rsid w:val="00E47F1D"/>
    <w:rsid w:val="00E50717"/>
    <w:rsid w:val="00E53B8F"/>
    <w:rsid w:val="00E5431C"/>
    <w:rsid w:val="00E543BE"/>
    <w:rsid w:val="00E5507D"/>
    <w:rsid w:val="00E550E4"/>
    <w:rsid w:val="00E56123"/>
    <w:rsid w:val="00E57D8C"/>
    <w:rsid w:val="00E60BE2"/>
    <w:rsid w:val="00E63596"/>
    <w:rsid w:val="00E65203"/>
    <w:rsid w:val="00E65434"/>
    <w:rsid w:val="00E70EA7"/>
    <w:rsid w:val="00E77FB7"/>
    <w:rsid w:val="00E84362"/>
    <w:rsid w:val="00E849F4"/>
    <w:rsid w:val="00E91B37"/>
    <w:rsid w:val="00E9504C"/>
    <w:rsid w:val="00E95760"/>
    <w:rsid w:val="00E95EC7"/>
    <w:rsid w:val="00EA3369"/>
    <w:rsid w:val="00EA5346"/>
    <w:rsid w:val="00EB08C6"/>
    <w:rsid w:val="00EB2CA3"/>
    <w:rsid w:val="00EB3251"/>
    <w:rsid w:val="00EB34DE"/>
    <w:rsid w:val="00EB3E9F"/>
    <w:rsid w:val="00EC0682"/>
    <w:rsid w:val="00EC39A5"/>
    <w:rsid w:val="00EC4B6A"/>
    <w:rsid w:val="00EE1526"/>
    <w:rsid w:val="00EE292B"/>
    <w:rsid w:val="00EE4111"/>
    <w:rsid w:val="00EE5EC8"/>
    <w:rsid w:val="00EF1375"/>
    <w:rsid w:val="00EF148C"/>
    <w:rsid w:val="00EF1B75"/>
    <w:rsid w:val="00EF4E9E"/>
    <w:rsid w:val="00EF536D"/>
    <w:rsid w:val="00EF7E3E"/>
    <w:rsid w:val="00F03A19"/>
    <w:rsid w:val="00F06ACC"/>
    <w:rsid w:val="00F10C45"/>
    <w:rsid w:val="00F166B5"/>
    <w:rsid w:val="00F17202"/>
    <w:rsid w:val="00F205B8"/>
    <w:rsid w:val="00F24FCE"/>
    <w:rsid w:val="00F26E7D"/>
    <w:rsid w:val="00F2722E"/>
    <w:rsid w:val="00F30521"/>
    <w:rsid w:val="00F31019"/>
    <w:rsid w:val="00F31054"/>
    <w:rsid w:val="00F32122"/>
    <w:rsid w:val="00F34864"/>
    <w:rsid w:val="00F35E9A"/>
    <w:rsid w:val="00F37935"/>
    <w:rsid w:val="00F42D6C"/>
    <w:rsid w:val="00F52DFF"/>
    <w:rsid w:val="00F53C77"/>
    <w:rsid w:val="00F54311"/>
    <w:rsid w:val="00F5566D"/>
    <w:rsid w:val="00F62570"/>
    <w:rsid w:val="00F642B1"/>
    <w:rsid w:val="00F65A1D"/>
    <w:rsid w:val="00F703E1"/>
    <w:rsid w:val="00F73193"/>
    <w:rsid w:val="00F74070"/>
    <w:rsid w:val="00F75748"/>
    <w:rsid w:val="00F81579"/>
    <w:rsid w:val="00F87661"/>
    <w:rsid w:val="00F87CFC"/>
    <w:rsid w:val="00F91B4F"/>
    <w:rsid w:val="00F92FCB"/>
    <w:rsid w:val="00FA0C79"/>
    <w:rsid w:val="00FA1161"/>
    <w:rsid w:val="00FA1A11"/>
    <w:rsid w:val="00FA1B03"/>
    <w:rsid w:val="00FA2812"/>
    <w:rsid w:val="00FA368A"/>
    <w:rsid w:val="00FA3E76"/>
    <w:rsid w:val="00FA5670"/>
    <w:rsid w:val="00FA5DB8"/>
    <w:rsid w:val="00FB0F60"/>
    <w:rsid w:val="00FB130B"/>
    <w:rsid w:val="00FB23C4"/>
    <w:rsid w:val="00FB2FCB"/>
    <w:rsid w:val="00FB3891"/>
    <w:rsid w:val="00FB4052"/>
    <w:rsid w:val="00FB472D"/>
    <w:rsid w:val="00FB7872"/>
    <w:rsid w:val="00FB7F34"/>
    <w:rsid w:val="00FC25FA"/>
    <w:rsid w:val="00FC2F4C"/>
    <w:rsid w:val="00FC54E0"/>
    <w:rsid w:val="00FC5CEC"/>
    <w:rsid w:val="00FC6955"/>
    <w:rsid w:val="00FC7E98"/>
    <w:rsid w:val="00FD1C21"/>
    <w:rsid w:val="00FD2851"/>
    <w:rsid w:val="00FD2C16"/>
    <w:rsid w:val="00FD4175"/>
    <w:rsid w:val="00FD4230"/>
    <w:rsid w:val="00FD451D"/>
    <w:rsid w:val="00FD4FD5"/>
    <w:rsid w:val="00FD6C3D"/>
    <w:rsid w:val="00FE240D"/>
    <w:rsid w:val="00FE63E4"/>
    <w:rsid w:val="00FE6C54"/>
    <w:rsid w:val="00FF0462"/>
    <w:rsid w:val="00FF0470"/>
    <w:rsid w:val="2D190E6F"/>
    <w:rsid w:val="60C6B957"/>
    <w:rsid w:val="6772B0DB"/>
    <w:rsid w:val="6ED5F1B7"/>
    <w:rsid w:val="72A8D25B"/>
    <w:rsid w:val="741E0F32"/>
    <w:rsid w:val="7DD874C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898B2"/>
  <w15:chartTrackingRefBased/>
  <w15:docId w15:val="{86A9785D-962F-408C-90BD-09FAD091B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29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29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29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29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29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29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29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29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29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29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29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29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29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29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29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29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29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2903"/>
    <w:rPr>
      <w:rFonts w:eastAsiaTheme="majorEastAsia" w:cstheme="majorBidi"/>
      <w:color w:val="272727" w:themeColor="text1" w:themeTint="D8"/>
    </w:rPr>
  </w:style>
  <w:style w:type="paragraph" w:styleId="Title">
    <w:name w:val="Title"/>
    <w:basedOn w:val="Normal"/>
    <w:next w:val="Normal"/>
    <w:link w:val="TitleChar"/>
    <w:uiPriority w:val="10"/>
    <w:qFormat/>
    <w:rsid w:val="003029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29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29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29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2903"/>
    <w:pPr>
      <w:spacing w:before="160"/>
      <w:jc w:val="center"/>
    </w:pPr>
    <w:rPr>
      <w:i/>
      <w:iCs/>
      <w:color w:val="404040" w:themeColor="text1" w:themeTint="BF"/>
    </w:rPr>
  </w:style>
  <w:style w:type="character" w:customStyle="1" w:styleId="QuoteChar">
    <w:name w:val="Quote Char"/>
    <w:basedOn w:val="DefaultParagraphFont"/>
    <w:link w:val="Quote"/>
    <w:uiPriority w:val="29"/>
    <w:rsid w:val="00302903"/>
    <w:rPr>
      <w:i/>
      <w:iCs/>
      <w:color w:val="404040" w:themeColor="text1" w:themeTint="BF"/>
    </w:rPr>
  </w:style>
  <w:style w:type="paragraph" w:styleId="ListParagraph">
    <w:name w:val="List Paragraph"/>
    <w:basedOn w:val="Normal"/>
    <w:uiPriority w:val="34"/>
    <w:qFormat/>
    <w:rsid w:val="00302903"/>
    <w:pPr>
      <w:ind w:left="720"/>
      <w:contextualSpacing/>
    </w:pPr>
  </w:style>
  <w:style w:type="character" w:styleId="IntenseEmphasis">
    <w:name w:val="Intense Emphasis"/>
    <w:basedOn w:val="DefaultParagraphFont"/>
    <w:uiPriority w:val="21"/>
    <w:qFormat/>
    <w:rsid w:val="00302903"/>
    <w:rPr>
      <w:i/>
      <w:iCs/>
      <w:color w:val="0F4761" w:themeColor="accent1" w:themeShade="BF"/>
    </w:rPr>
  </w:style>
  <w:style w:type="paragraph" w:styleId="IntenseQuote">
    <w:name w:val="Intense Quote"/>
    <w:basedOn w:val="Normal"/>
    <w:next w:val="Normal"/>
    <w:link w:val="IntenseQuoteChar"/>
    <w:uiPriority w:val="30"/>
    <w:qFormat/>
    <w:rsid w:val="003029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2903"/>
    <w:rPr>
      <w:i/>
      <w:iCs/>
      <w:color w:val="0F4761" w:themeColor="accent1" w:themeShade="BF"/>
    </w:rPr>
  </w:style>
  <w:style w:type="character" w:styleId="IntenseReference">
    <w:name w:val="Intense Reference"/>
    <w:basedOn w:val="DefaultParagraphFont"/>
    <w:uiPriority w:val="32"/>
    <w:qFormat/>
    <w:rsid w:val="00302903"/>
    <w:rPr>
      <w:b/>
      <w:bCs/>
      <w:smallCaps/>
      <w:color w:val="0F4761" w:themeColor="accent1" w:themeShade="BF"/>
      <w:spacing w:val="5"/>
    </w:rPr>
  </w:style>
  <w:style w:type="character" w:styleId="CommentReference">
    <w:name w:val="annotation reference"/>
    <w:basedOn w:val="DefaultParagraphFont"/>
    <w:uiPriority w:val="99"/>
    <w:semiHidden/>
    <w:unhideWhenUsed/>
    <w:rsid w:val="00585978"/>
    <w:rPr>
      <w:sz w:val="16"/>
      <w:szCs w:val="16"/>
    </w:rPr>
  </w:style>
  <w:style w:type="paragraph" w:styleId="CommentText">
    <w:name w:val="annotation text"/>
    <w:basedOn w:val="Normal"/>
    <w:link w:val="CommentTextChar"/>
    <w:uiPriority w:val="99"/>
    <w:semiHidden/>
    <w:unhideWhenUsed/>
    <w:rsid w:val="00585978"/>
    <w:pPr>
      <w:spacing w:line="240" w:lineRule="auto"/>
    </w:pPr>
    <w:rPr>
      <w:sz w:val="20"/>
      <w:szCs w:val="20"/>
    </w:rPr>
  </w:style>
  <w:style w:type="character" w:customStyle="1" w:styleId="CommentTextChar">
    <w:name w:val="Comment Text Char"/>
    <w:basedOn w:val="DefaultParagraphFont"/>
    <w:link w:val="CommentText"/>
    <w:uiPriority w:val="99"/>
    <w:semiHidden/>
    <w:rsid w:val="00585978"/>
    <w:rPr>
      <w:sz w:val="20"/>
      <w:szCs w:val="20"/>
    </w:rPr>
  </w:style>
  <w:style w:type="paragraph" w:styleId="CommentSubject">
    <w:name w:val="annotation subject"/>
    <w:basedOn w:val="CommentText"/>
    <w:next w:val="CommentText"/>
    <w:link w:val="CommentSubjectChar"/>
    <w:uiPriority w:val="99"/>
    <w:semiHidden/>
    <w:unhideWhenUsed/>
    <w:rsid w:val="00585978"/>
    <w:rPr>
      <w:b/>
      <w:bCs/>
    </w:rPr>
  </w:style>
  <w:style w:type="character" w:customStyle="1" w:styleId="CommentSubjectChar">
    <w:name w:val="Comment Subject Char"/>
    <w:basedOn w:val="CommentTextChar"/>
    <w:link w:val="CommentSubject"/>
    <w:uiPriority w:val="99"/>
    <w:semiHidden/>
    <w:rsid w:val="00585978"/>
    <w:rPr>
      <w:b/>
      <w:bCs/>
      <w:sz w:val="20"/>
      <w:szCs w:val="20"/>
    </w:rPr>
  </w:style>
  <w:style w:type="paragraph" w:styleId="Bibliography">
    <w:name w:val="Bibliography"/>
    <w:basedOn w:val="Normal"/>
    <w:next w:val="Normal"/>
    <w:uiPriority w:val="37"/>
    <w:unhideWhenUsed/>
    <w:rsid w:val="00D16AAA"/>
    <w:pPr>
      <w:spacing w:after="0" w:line="480" w:lineRule="auto"/>
      <w:ind w:left="720" w:hanging="720"/>
    </w:pPr>
  </w:style>
  <w:style w:type="paragraph" w:styleId="Revision">
    <w:name w:val="Revision"/>
    <w:hidden/>
    <w:uiPriority w:val="99"/>
    <w:semiHidden/>
    <w:rsid w:val="003A07F1"/>
    <w:pPr>
      <w:spacing w:after="0" w:line="240" w:lineRule="auto"/>
    </w:pPr>
  </w:style>
  <w:style w:type="character" w:styleId="Strong">
    <w:name w:val="Strong"/>
    <w:basedOn w:val="DefaultParagraphFont"/>
    <w:uiPriority w:val="22"/>
    <w:qFormat/>
    <w:rsid w:val="00D16407"/>
    <w:rPr>
      <w:b/>
      <w:bCs/>
    </w:rPr>
  </w:style>
  <w:style w:type="paragraph" w:styleId="Header">
    <w:name w:val="header"/>
    <w:basedOn w:val="Normal"/>
    <w:link w:val="HeaderChar"/>
    <w:uiPriority w:val="99"/>
    <w:unhideWhenUsed/>
    <w:rsid w:val="00C814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14D8"/>
  </w:style>
  <w:style w:type="paragraph" w:styleId="Footer">
    <w:name w:val="footer"/>
    <w:basedOn w:val="Normal"/>
    <w:link w:val="FooterChar"/>
    <w:uiPriority w:val="99"/>
    <w:unhideWhenUsed/>
    <w:rsid w:val="00C814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14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AD69B233EF4934EBEBE0E17DF169139" ma:contentTypeVersion="8" ma:contentTypeDescription="Create a new document." ma:contentTypeScope="" ma:versionID="ce46121a1a91d0521d4502b7aad0e40c">
  <xsd:schema xmlns:xsd="http://www.w3.org/2001/XMLSchema" xmlns:xs="http://www.w3.org/2001/XMLSchema" xmlns:p="http://schemas.microsoft.com/office/2006/metadata/properties" xmlns:ns2="da63b50e-2aab-4fc2-bcdf-a08394a4628d" targetNamespace="http://schemas.microsoft.com/office/2006/metadata/properties" ma:root="true" ma:fieldsID="855b21638c6be7f70f4a80cf386811e0" ns2:_="">
    <xsd:import namespace="da63b50e-2aab-4fc2-bcdf-a08394a4628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63b50e-2aab-4fc2-bcdf-a08394a46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ECEC61-206A-4FF6-86D4-7D164AFDE526}">
  <ds:schemaRefs>
    <ds:schemaRef ds:uri="http://schemas.openxmlformats.org/officeDocument/2006/bibliography"/>
  </ds:schemaRefs>
</ds:datastoreItem>
</file>

<file path=customXml/itemProps2.xml><?xml version="1.0" encoding="utf-8"?>
<ds:datastoreItem xmlns:ds="http://schemas.openxmlformats.org/officeDocument/2006/customXml" ds:itemID="{6DAACA64-BB21-4066-AA26-8228CFBF13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63b50e-2aab-4fc2-bcdf-a08394a462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2A56B6-7EEE-4165-8C24-1C969A60BB5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70515B3-9B49-4FE1-BAB9-2B369E0FED4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15</Pages>
  <Words>7306</Words>
  <Characters>45559</Characters>
  <Application>Microsoft Office Word</Application>
  <DocSecurity>0</DocSecurity>
  <Lines>643</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Saephan, Kenny</dc:creator>
  <cp:keywords/>
  <dc:description/>
  <cp:lastModifiedBy>Saephan, Kenny</cp:lastModifiedBy>
  <cp:revision>88</cp:revision>
  <dcterms:created xsi:type="dcterms:W3CDTF">2026-04-03T21:16:00Z</dcterms:created>
  <dcterms:modified xsi:type="dcterms:W3CDTF">2026-04-04T02:29:00Z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id="6u5cAesO"/&gt;&lt;style id="http://www.zotero.org/styles/apa" locale="en-US"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y fmtid="{D5CDD505-2E9C-101B-9397-08002B2CF9AE}" pid="4" name="ContentTypeId">
    <vt:lpwstr>0x010100EAD69B233EF4934EBEBE0E17DF169139</vt:lpwstr>
  </property>
</Properties>
</file>