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288AA" w14:textId="114FDD11" w:rsidR="00847C5B" w:rsidRDefault="00C40E62" w:rsidP="00E468D8">
      <w:pPr>
        <w:pBdr>
          <w:top w:val="nil"/>
          <w:left w:val="nil"/>
          <w:bottom w:val="nil"/>
          <w:right w:val="nil"/>
          <w:between w:val="nil"/>
        </w:pBdr>
        <w:tabs>
          <w:tab w:val="left" w:pos="720"/>
        </w:tabs>
        <w:jc w:val="center"/>
        <w:rPr>
          <w:b/>
          <w:bCs/>
        </w:rPr>
      </w:pPr>
      <w:bookmarkStart w:id="0" w:name="_Hlk219360033"/>
      <w:r w:rsidRPr="00E468D8">
        <w:rPr>
          <w:b/>
          <w:bCs/>
        </w:rPr>
        <w:t xml:space="preserve">Reframing Employability: Leveraging Community Cultural Wealth </w:t>
      </w:r>
      <w:r w:rsidR="00A52B1B" w:rsidRPr="00E468D8">
        <w:rPr>
          <w:b/>
          <w:bCs/>
        </w:rPr>
        <w:t>as</w:t>
      </w:r>
      <w:r w:rsidRPr="00E468D8">
        <w:rPr>
          <w:b/>
          <w:bCs/>
        </w:rPr>
        <w:t xml:space="preserve"> a Mechanism </w:t>
      </w:r>
      <w:r w:rsidR="00A52B1B" w:rsidRPr="00E468D8">
        <w:rPr>
          <w:b/>
          <w:bCs/>
        </w:rPr>
        <w:t>T</w:t>
      </w:r>
      <w:r w:rsidRPr="00E468D8">
        <w:rPr>
          <w:b/>
          <w:bCs/>
        </w:rPr>
        <w:t>hrough Black women Students in Undergraduate Agricultural programs</w:t>
      </w:r>
    </w:p>
    <w:p w14:paraId="7AF9B62E" w14:textId="77777777" w:rsidR="001B45E0" w:rsidRDefault="003C1D3B" w:rsidP="0057033E">
      <w:pPr>
        <w:pBdr>
          <w:top w:val="nil"/>
          <w:left w:val="nil"/>
          <w:bottom w:val="nil"/>
          <w:right w:val="nil"/>
          <w:between w:val="nil"/>
        </w:pBdr>
        <w:tabs>
          <w:tab w:val="left" w:pos="720"/>
        </w:tabs>
        <w:rPr>
          <w:b/>
          <w:bCs/>
        </w:rPr>
      </w:pPr>
      <w:r w:rsidRPr="003C1D3B">
        <w:rPr>
          <w:b/>
          <w:bCs/>
        </w:rPr>
        <w:t> </w:t>
      </w:r>
    </w:p>
    <w:p w14:paraId="065B154E" w14:textId="36623511" w:rsidR="00B4344F" w:rsidRDefault="001B45E0" w:rsidP="00693342">
      <w:pPr>
        <w:pBdr>
          <w:top w:val="nil"/>
          <w:left w:val="nil"/>
          <w:bottom w:val="nil"/>
          <w:right w:val="nil"/>
          <w:between w:val="nil"/>
        </w:pBdr>
        <w:tabs>
          <w:tab w:val="left" w:pos="720"/>
        </w:tabs>
        <w:jc w:val="center"/>
      </w:pPr>
      <w:r w:rsidRPr="00F72056">
        <w:t xml:space="preserve">Rose Marie Somers, </w:t>
      </w:r>
      <w:r w:rsidR="00B4344F">
        <w:t>South Carolina State University</w:t>
      </w:r>
    </w:p>
    <w:p w14:paraId="70D5ECCF" w14:textId="77777777" w:rsidR="00525350" w:rsidRDefault="00525350" w:rsidP="00525350">
      <w:pPr>
        <w:pBdr>
          <w:top w:val="nil"/>
          <w:left w:val="nil"/>
          <w:bottom w:val="nil"/>
          <w:right w:val="nil"/>
          <w:between w:val="nil"/>
        </w:pBdr>
        <w:tabs>
          <w:tab w:val="left" w:pos="720"/>
        </w:tabs>
        <w:jc w:val="center"/>
      </w:pPr>
      <w:r w:rsidRPr="00F72056">
        <w:t xml:space="preserve">Golnaz Arastoopour Irgens, </w:t>
      </w:r>
      <w:r>
        <w:t>Vanderbilt University</w:t>
      </w:r>
    </w:p>
    <w:p w14:paraId="0E945BB7" w14:textId="77777777" w:rsidR="00626D11" w:rsidRDefault="00626D11" w:rsidP="00626D11">
      <w:pPr>
        <w:pBdr>
          <w:top w:val="nil"/>
          <w:left w:val="nil"/>
          <w:bottom w:val="nil"/>
          <w:right w:val="nil"/>
          <w:between w:val="nil"/>
        </w:pBdr>
        <w:tabs>
          <w:tab w:val="left" w:pos="720"/>
        </w:tabs>
        <w:jc w:val="center"/>
      </w:pPr>
      <w:r w:rsidRPr="00F72056">
        <w:t>Christopher</w:t>
      </w:r>
      <w:r>
        <w:t xml:space="preserve"> J.</w:t>
      </w:r>
      <w:r w:rsidRPr="00F72056">
        <w:t xml:space="preserve"> Eck, </w:t>
      </w:r>
      <w:r>
        <w:t>Oklahoma State University</w:t>
      </w:r>
    </w:p>
    <w:p w14:paraId="706354C8" w14:textId="3FB74FA0" w:rsidR="00B4344F" w:rsidRDefault="00BF4627" w:rsidP="00B4344F">
      <w:pPr>
        <w:pBdr>
          <w:top w:val="nil"/>
          <w:left w:val="nil"/>
          <w:bottom w:val="nil"/>
          <w:right w:val="nil"/>
          <w:between w:val="nil"/>
        </w:pBdr>
        <w:tabs>
          <w:tab w:val="left" w:pos="720"/>
        </w:tabs>
        <w:jc w:val="center"/>
      </w:pPr>
      <w:r w:rsidRPr="00F72056">
        <w:t>Dale Layfie</w:t>
      </w:r>
      <w:r w:rsidR="00693342" w:rsidRPr="00F72056">
        <w:t>ld</w:t>
      </w:r>
      <w:r w:rsidRPr="00F72056">
        <w:t xml:space="preserve">, </w:t>
      </w:r>
      <w:r w:rsidR="00B4344F" w:rsidRPr="00C37971">
        <w:t>Clemson University</w:t>
      </w:r>
    </w:p>
    <w:p w14:paraId="36004646" w14:textId="08D4C671" w:rsidR="00B4344F" w:rsidRDefault="00B8782D" w:rsidP="00B4344F">
      <w:pPr>
        <w:pBdr>
          <w:top w:val="nil"/>
          <w:left w:val="nil"/>
          <w:bottom w:val="nil"/>
          <w:right w:val="nil"/>
          <w:between w:val="nil"/>
        </w:pBdr>
        <w:tabs>
          <w:tab w:val="left" w:pos="720"/>
        </w:tabs>
        <w:jc w:val="center"/>
      </w:pPr>
      <w:r w:rsidRPr="00F72056">
        <w:t>Rachel Wagner</w:t>
      </w:r>
      <w:r w:rsidR="00BF4627" w:rsidRPr="00F72056">
        <w:t xml:space="preserve">, </w:t>
      </w:r>
      <w:r w:rsidR="00B4344F" w:rsidRPr="00C37971">
        <w:t>Clemson University</w:t>
      </w:r>
    </w:p>
    <w:p w14:paraId="647C8D32" w14:textId="2F110AB8" w:rsidR="00693342" w:rsidRPr="00F72056" w:rsidRDefault="00BF4627" w:rsidP="00B4344F">
      <w:pPr>
        <w:pBdr>
          <w:top w:val="nil"/>
          <w:left w:val="nil"/>
          <w:bottom w:val="nil"/>
          <w:right w:val="nil"/>
          <w:between w:val="nil"/>
        </w:pBdr>
        <w:tabs>
          <w:tab w:val="left" w:pos="720"/>
        </w:tabs>
        <w:jc w:val="center"/>
      </w:pPr>
      <w:r w:rsidRPr="00F72056">
        <w:t>Karen High</w:t>
      </w:r>
      <w:r w:rsidR="00B4344F">
        <w:t xml:space="preserve">, </w:t>
      </w:r>
      <w:r w:rsidR="00693342" w:rsidRPr="00F72056">
        <w:t>Clemson University</w:t>
      </w:r>
    </w:p>
    <w:p w14:paraId="7D531C05" w14:textId="77777777" w:rsidR="00110F2C" w:rsidRDefault="00110F2C" w:rsidP="00E02EAA">
      <w:pPr>
        <w:pBdr>
          <w:top w:val="nil"/>
          <w:left w:val="nil"/>
          <w:bottom w:val="nil"/>
          <w:right w:val="nil"/>
          <w:between w:val="nil"/>
        </w:pBdr>
        <w:tabs>
          <w:tab w:val="left" w:pos="720"/>
        </w:tabs>
        <w:jc w:val="center"/>
        <w:rPr>
          <w:b/>
          <w:bCs/>
        </w:rPr>
      </w:pPr>
    </w:p>
    <w:p w14:paraId="7F13495F" w14:textId="3B9925FD" w:rsidR="00842180" w:rsidRPr="00E468D8" w:rsidRDefault="00690077" w:rsidP="00E02EAA">
      <w:pPr>
        <w:pBdr>
          <w:top w:val="nil"/>
          <w:left w:val="nil"/>
          <w:bottom w:val="nil"/>
          <w:right w:val="nil"/>
          <w:between w:val="nil"/>
        </w:pBdr>
        <w:tabs>
          <w:tab w:val="left" w:pos="720"/>
        </w:tabs>
        <w:jc w:val="center"/>
        <w:rPr>
          <w:b/>
          <w:bCs/>
        </w:rPr>
      </w:pPr>
      <w:r w:rsidRPr="00E468D8">
        <w:rPr>
          <w:b/>
          <w:bCs/>
        </w:rPr>
        <w:t>Abstract</w:t>
      </w:r>
    </w:p>
    <w:p w14:paraId="62F0B6A4" w14:textId="77777777" w:rsidR="00C853C6" w:rsidRPr="00E468D8" w:rsidRDefault="00C853C6" w:rsidP="0057033E">
      <w:pPr>
        <w:pBdr>
          <w:top w:val="nil"/>
          <w:left w:val="nil"/>
          <w:bottom w:val="nil"/>
          <w:right w:val="nil"/>
          <w:between w:val="nil"/>
        </w:pBdr>
        <w:tabs>
          <w:tab w:val="left" w:pos="720"/>
        </w:tabs>
        <w:rPr>
          <w:b/>
          <w:bCs/>
        </w:rPr>
      </w:pPr>
    </w:p>
    <w:p w14:paraId="60CB1001" w14:textId="4FD7F962" w:rsidR="00121F6D" w:rsidRPr="00E468D8" w:rsidRDefault="00121F6D" w:rsidP="0057033E">
      <w:pPr>
        <w:rPr>
          <w:i/>
          <w:iCs/>
        </w:rPr>
      </w:pPr>
      <w:r w:rsidRPr="00E468D8">
        <w:rPr>
          <w:i/>
          <w:iCs/>
        </w:rPr>
        <w:t xml:space="preserve">Employability is widely studied yet conceptually </w:t>
      </w:r>
      <w:r w:rsidR="009C789B">
        <w:rPr>
          <w:i/>
          <w:iCs/>
        </w:rPr>
        <w:t>contested, often</w:t>
      </w:r>
      <w:r w:rsidRPr="00E468D8">
        <w:rPr>
          <w:i/>
          <w:iCs/>
        </w:rPr>
        <w:t xml:space="preserve"> framed through a deficit lens that individualizes responsibility for skill development. Such framings</w:t>
      </w:r>
      <w:r w:rsidR="00A21244">
        <w:rPr>
          <w:i/>
          <w:iCs/>
        </w:rPr>
        <w:t xml:space="preserve"> frequently overlook</w:t>
      </w:r>
      <w:r w:rsidRPr="00E468D8">
        <w:rPr>
          <w:i/>
          <w:iCs/>
        </w:rPr>
        <w:t xml:space="preserve"> </w:t>
      </w:r>
      <w:r w:rsidR="00A21244">
        <w:rPr>
          <w:i/>
          <w:iCs/>
        </w:rPr>
        <w:t xml:space="preserve">undergraduate Black women’s </w:t>
      </w:r>
      <w:r w:rsidR="00A21244" w:rsidRPr="00E468D8">
        <w:rPr>
          <w:i/>
          <w:iCs/>
        </w:rPr>
        <w:t xml:space="preserve">perspectives, experiences, and cultural resources </w:t>
      </w:r>
      <w:r w:rsidR="00A21244">
        <w:rPr>
          <w:i/>
          <w:iCs/>
        </w:rPr>
        <w:t>used to</w:t>
      </w:r>
      <w:r w:rsidRPr="00E468D8">
        <w:rPr>
          <w:i/>
          <w:iCs/>
        </w:rPr>
        <w:t xml:space="preserve"> develop employability skills. This study draws on Community Cultural Wealth to reframe </w:t>
      </w:r>
      <w:r w:rsidR="00EE19B5" w:rsidRPr="00E468D8">
        <w:rPr>
          <w:i/>
          <w:iCs/>
        </w:rPr>
        <w:t>the development of employability skills</w:t>
      </w:r>
      <w:r w:rsidRPr="00E468D8">
        <w:rPr>
          <w:i/>
          <w:iCs/>
        </w:rPr>
        <w:t xml:space="preserve"> among Black women students enrolled in an undergraduate agricultural program at a predominantly White institution. Using an exploratory multi-case study design, data were collected through semi-structured interviews and </w:t>
      </w:r>
      <w:r w:rsidR="00DA272F">
        <w:rPr>
          <w:i/>
          <w:iCs/>
        </w:rPr>
        <w:t xml:space="preserve">card-and-photo elicitation with </w:t>
      </w:r>
      <w:r w:rsidR="00A21244">
        <w:rPr>
          <w:i/>
          <w:iCs/>
        </w:rPr>
        <w:t>nine</w:t>
      </w:r>
      <w:r w:rsidR="00DA272F">
        <w:rPr>
          <w:i/>
          <w:iCs/>
        </w:rPr>
        <w:t xml:space="preserve"> Black undergraduate women</w:t>
      </w:r>
      <w:r w:rsidRPr="00E468D8">
        <w:rPr>
          <w:i/>
          <w:iCs/>
        </w:rPr>
        <w:t xml:space="preserve">. </w:t>
      </w:r>
      <w:r w:rsidR="00A21244">
        <w:rPr>
          <w:i/>
          <w:iCs/>
        </w:rPr>
        <w:t>Findings</w:t>
      </w:r>
      <w:r w:rsidRPr="00E468D8">
        <w:rPr>
          <w:i/>
          <w:iCs/>
        </w:rPr>
        <w:t xml:space="preserve"> revealed that participants drew on aspirational, familial, and navigational capital to develop and strengthen </w:t>
      </w:r>
      <w:r w:rsidR="002B3D8A" w:rsidRPr="00E468D8">
        <w:rPr>
          <w:i/>
          <w:iCs/>
        </w:rPr>
        <w:t xml:space="preserve">their </w:t>
      </w:r>
      <w:r w:rsidRPr="00E468D8">
        <w:rPr>
          <w:i/>
          <w:iCs/>
        </w:rPr>
        <w:t xml:space="preserve">critical thinking, communication, and interpersonal skills. Findings further indicated that students leveraged their cultural wealth to foster culturally sustaining strengths, including empathy and resilience, which are not explicitly emphasized in dominant employability skills frameworks yet are essential for success in agricultural industries. By </w:t>
      </w:r>
      <w:r w:rsidR="00C157DC">
        <w:rPr>
          <w:i/>
          <w:iCs/>
        </w:rPr>
        <w:t>centering out-of-school contexts, such as the home and community, this study offers an asset-based perspective that broadens the conceptualization and assessment of employability in</w:t>
      </w:r>
      <w:r w:rsidRPr="00E468D8">
        <w:rPr>
          <w:i/>
          <w:iCs/>
        </w:rPr>
        <w:t xml:space="preserve"> agricultural education.</w:t>
      </w:r>
    </w:p>
    <w:p w14:paraId="4A1B7FEC" w14:textId="77777777" w:rsidR="00C853C6" w:rsidRPr="00E468D8" w:rsidRDefault="00C853C6" w:rsidP="0057033E"/>
    <w:bookmarkEnd w:id="0"/>
    <w:p w14:paraId="39B94DC9" w14:textId="4F3D1F0A" w:rsidR="00121F6D" w:rsidRPr="00E468D8" w:rsidRDefault="005214B7" w:rsidP="00E02EAA">
      <w:pPr>
        <w:ind w:firstLine="720"/>
        <w:jc w:val="center"/>
        <w:rPr>
          <w:b/>
          <w:bCs/>
        </w:rPr>
      </w:pPr>
      <w:r w:rsidRPr="00E468D8">
        <w:rPr>
          <w:b/>
          <w:bCs/>
        </w:rPr>
        <w:t>Introduction</w:t>
      </w:r>
    </w:p>
    <w:p w14:paraId="66A0BC97" w14:textId="77777777" w:rsidR="006B4035" w:rsidRPr="00E468D8" w:rsidRDefault="006B4035" w:rsidP="0057033E"/>
    <w:p w14:paraId="13A84658" w14:textId="4EBAB691" w:rsidR="006B4035" w:rsidRPr="00E468D8" w:rsidRDefault="006B4035" w:rsidP="0057033E">
      <w:pPr>
        <w:ind w:firstLine="720"/>
        <w:rPr>
          <w:lang w:val="en-US"/>
        </w:rPr>
      </w:pPr>
      <w:r w:rsidRPr="00E468D8">
        <w:rPr>
          <w:lang w:val="en-US"/>
        </w:rPr>
        <w:t xml:space="preserve">Across the United States, agricultural industry </w:t>
      </w:r>
      <w:r w:rsidR="006D2A1B" w:rsidRPr="00E468D8">
        <w:rPr>
          <w:lang w:val="en-US"/>
        </w:rPr>
        <w:t xml:space="preserve">leaders </w:t>
      </w:r>
      <w:r w:rsidRPr="00E468D8">
        <w:rPr>
          <w:lang w:val="en-US"/>
        </w:rPr>
        <w:t>continue to</w:t>
      </w:r>
      <w:r w:rsidR="006D2A1B" w:rsidRPr="00E468D8">
        <w:rPr>
          <w:lang w:val="en-US"/>
        </w:rPr>
        <w:t xml:space="preserve"> express</w:t>
      </w:r>
      <w:r w:rsidRPr="00E468D8">
        <w:rPr>
          <w:lang w:val="en-US"/>
        </w:rPr>
        <w:t xml:space="preserve"> concern over a growing shortage of qualified professionals </w:t>
      </w:r>
      <w:r w:rsidR="00607C9C">
        <w:rPr>
          <w:lang w:val="en-US"/>
        </w:rPr>
        <w:t>with</w:t>
      </w:r>
      <w:r w:rsidRPr="00E468D8">
        <w:rPr>
          <w:lang w:val="en-US"/>
        </w:rPr>
        <w:t xml:space="preserve"> both discipline-specific expertise and employability skills necessary to advance the sector</w:t>
      </w:r>
      <w:r w:rsidR="006D2A1B" w:rsidRPr="00E468D8">
        <w:rPr>
          <w:lang w:val="en-US"/>
        </w:rPr>
        <w:t xml:space="preserve"> (</w:t>
      </w:r>
      <w:r w:rsidR="006D2A1B" w:rsidRPr="00E468D8">
        <w:t xml:space="preserve">Javaid et al., 2022; Li, 2022; Sam et al., 2022). </w:t>
      </w:r>
      <w:r w:rsidRPr="00E468D8">
        <w:rPr>
          <w:lang w:val="en-US"/>
        </w:rPr>
        <w:t xml:space="preserve">As agriculture becomes increasingly complex and globally interconnected, graduates are expected to navigate technological innovation, interdisciplinary collaboration, and rapidly evolving workforce demands </w:t>
      </w:r>
      <w:r w:rsidR="007A2E22" w:rsidRPr="00E468D8">
        <w:rPr>
          <w:lang w:val="en-US"/>
        </w:rPr>
        <w:t>(</w:t>
      </w:r>
      <w:r w:rsidR="007A2E22" w:rsidRPr="00E468D8">
        <w:t>Colclasure, 2020)</w:t>
      </w:r>
      <w:r w:rsidRPr="00E468D8">
        <w:rPr>
          <w:lang w:val="en-US"/>
        </w:rPr>
        <w:t xml:space="preserve">. </w:t>
      </w:r>
      <w:r w:rsidR="007A2E22" w:rsidRPr="00E468D8">
        <w:rPr>
          <w:lang w:val="en-US"/>
        </w:rPr>
        <w:t>Moreover, p</w:t>
      </w:r>
      <w:r w:rsidRPr="00E468D8">
        <w:rPr>
          <w:lang w:val="en-US"/>
        </w:rPr>
        <w:t xml:space="preserve">rojections indicating the need to </w:t>
      </w:r>
      <w:r w:rsidR="007A2E22" w:rsidRPr="00E468D8">
        <w:rPr>
          <w:lang w:val="en-US"/>
        </w:rPr>
        <w:t xml:space="preserve">double </w:t>
      </w:r>
      <w:r w:rsidRPr="00E468D8">
        <w:rPr>
          <w:lang w:val="en-US"/>
        </w:rPr>
        <w:t xml:space="preserve">food and fiber production by 2050 further intensify the demand for a skilled and adaptable agricultural workforce </w:t>
      </w:r>
      <w:r w:rsidR="007A2E22" w:rsidRPr="005417A8">
        <w:rPr>
          <w:lang w:val="en-US"/>
        </w:rPr>
        <w:t>(F</w:t>
      </w:r>
      <w:r w:rsidR="00FA17D7" w:rsidRPr="005417A8">
        <w:rPr>
          <w:lang w:val="en-US"/>
        </w:rPr>
        <w:t xml:space="preserve">ood and </w:t>
      </w:r>
      <w:r w:rsidR="007A2E22" w:rsidRPr="005417A8">
        <w:rPr>
          <w:lang w:val="en-US"/>
        </w:rPr>
        <w:t>A</w:t>
      </w:r>
      <w:r w:rsidR="00FA17D7" w:rsidRPr="005417A8">
        <w:rPr>
          <w:lang w:val="en-US"/>
        </w:rPr>
        <w:t>gricultur</w:t>
      </w:r>
      <w:r w:rsidR="00607C9C" w:rsidRPr="005417A8">
        <w:rPr>
          <w:lang w:val="en-US"/>
        </w:rPr>
        <w:t xml:space="preserve">e </w:t>
      </w:r>
      <w:r w:rsidR="007A2E22" w:rsidRPr="005417A8">
        <w:rPr>
          <w:lang w:val="en-US"/>
        </w:rPr>
        <w:t>O</w:t>
      </w:r>
      <w:r w:rsidR="00FA17D7" w:rsidRPr="005417A8">
        <w:rPr>
          <w:lang w:val="en-US"/>
        </w:rPr>
        <w:t>rganization of the United Nations</w:t>
      </w:r>
      <w:r w:rsidR="007A2E22" w:rsidRPr="005417A8">
        <w:rPr>
          <w:lang w:val="en-US"/>
        </w:rPr>
        <w:t>, 20</w:t>
      </w:r>
      <w:r w:rsidR="00955E32" w:rsidRPr="005417A8">
        <w:rPr>
          <w:lang w:val="en-US"/>
        </w:rPr>
        <w:t>23</w:t>
      </w:r>
      <w:r w:rsidR="007A2E22" w:rsidRPr="005417A8">
        <w:rPr>
          <w:lang w:val="en-US"/>
        </w:rPr>
        <w:t xml:space="preserve">; </w:t>
      </w:r>
      <w:r w:rsidR="007A2E22" w:rsidRPr="005417A8">
        <w:t>Li, 2022</w:t>
      </w:r>
      <w:r w:rsidRPr="005417A8">
        <w:rPr>
          <w:lang w:val="en-US"/>
        </w:rPr>
        <w:t>). Consequently</w:t>
      </w:r>
      <w:r w:rsidRPr="00E468D8">
        <w:rPr>
          <w:lang w:val="en-US"/>
        </w:rPr>
        <w:t xml:space="preserve">, employability skills, such as critical thinking, communication, problem-solving, and interpersonal competence, have become central outcomes of agricultural education programs as institutions seek to prepare graduates for success in a </w:t>
      </w:r>
      <w:r w:rsidR="007A2E22" w:rsidRPr="00E468D8">
        <w:rPr>
          <w:lang w:val="en-US"/>
        </w:rPr>
        <w:t xml:space="preserve">globally </w:t>
      </w:r>
      <w:r w:rsidRPr="00E468D8">
        <w:rPr>
          <w:lang w:val="en-US"/>
        </w:rPr>
        <w:t xml:space="preserve">competitive and </w:t>
      </w:r>
      <w:r w:rsidR="0028098E" w:rsidRPr="00E468D8">
        <w:t xml:space="preserve">knowledge-driven economy </w:t>
      </w:r>
      <w:r w:rsidRPr="00E468D8">
        <w:rPr>
          <w:lang w:val="en-US"/>
        </w:rPr>
        <w:t>(</w:t>
      </w:r>
      <w:r w:rsidR="004E7371" w:rsidRPr="001A04DD">
        <w:t xml:space="preserve">Clark et al., </w:t>
      </w:r>
      <w:r w:rsidR="00916501" w:rsidRPr="001A04DD">
        <w:t>2021</w:t>
      </w:r>
      <w:r w:rsidR="004B7C9A" w:rsidRPr="001A04DD">
        <w:rPr>
          <w:lang w:val="en-US"/>
        </w:rPr>
        <w:t>;</w:t>
      </w:r>
      <w:r w:rsidR="004B7C9A" w:rsidRPr="00E468D8">
        <w:rPr>
          <w:lang w:val="en-US"/>
        </w:rPr>
        <w:t xml:space="preserve"> </w:t>
      </w:r>
      <w:r w:rsidR="007A2E22" w:rsidRPr="00E468D8">
        <w:t>Parrella, 202</w:t>
      </w:r>
      <w:r w:rsidR="00676FFB" w:rsidRPr="00E468D8">
        <w:t>4</w:t>
      </w:r>
      <w:r w:rsidRPr="00E468D8">
        <w:rPr>
          <w:lang w:val="en-US"/>
        </w:rPr>
        <w:t>).</w:t>
      </w:r>
    </w:p>
    <w:p w14:paraId="2EEE280F" w14:textId="77777777" w:rsidR="0028098E" w:rsidRPr="00E468D8" w:rsidRDefault="0028098E" w:rsidP="0057033E">
      <w:pPr>
        <w:rPr>
          <w:lang w:val="en-US"/>
        </w:rPr>
      </w:pPr>
    </w:p>
    <w:p w14:paraId="5D5FB5AF" w14:textId="06A0505B" w:rsidR="006B4035" w:rsidRPr="00B91697" w:rsidRDefault="006B4035" w:rsidP="0057033E">
      <w:pPr>
        <w:ind w:firstLine="720"/>
        <w:rPr>
          <w:lang w:val="en-US"/>
        </w:rPr>
      </w:pPr>
      <w:r w:rsidRPr="00E468D8">
        <w:rPr>
          <w:lang w:val="en-US"/>
        </w:rPr>
        <w:t xml:space="preserve">Despite the </w:t>
      </w:r>
      <w:r w:rsidR="006D2A1B" w:rsidRPr="00E468D8">
        <w:rPr>
          <w:lang w:val="en-US"/>
        </w:rPr>
        <w:t>significance</w:t>
      </w:r>
      <w:r w:rsidRPr="00E468D8">
        <w:rPr>
          <w:lang w:val="en-US"/>
        </w:rPr>
        <w:t xml:space="preserve"> of employability </w:t>
      </w:r>
      <w:r w:rsidR="003913F8" w:rsidRPr="00E468D8">
        <w:rPr>
          <w:lang w:val="en-US"/>
        </w:rPr>
        <w:t xml:space="preserve">skills </w:t>
      </w:r>
      <w:r w:rsidRPr="00E468D8">
        <w:rPr>
          <w:lang w:val="en-US"/>
        </w:rPr>
        <w:t xml:space="preserve">in higher education and agricultural workforce discourse, the concept remains widely contested and inconsistently defined. </w:t>
      </w:r>
      <w:r w:rsidR="0028098E" w:rsidRPr="00E468D8">
        <w:t xml:space="preserve">This ambiguity complicates efforts to align educational outcomes with industry expectations and to </w:t>
      </w:r>
      <w:r w:rsidR="0028098E" w:rsidRPr="00E468D8">
        <w:lastRenderedPageBreak/>
        <w:t>measure students’ readiness for real-world employment</w:t>
      </w:r>
      <w:r w:rsidR="007F5497" w:rsidRPr="00E468D8">
        <w:t xml:space="preserve"> </w:t>
      </w:r>
      <w:r w:rsidR="00876D13" w:rsidRPr="00E468D8">
        <w:t>(</w:t>
      </w:r>
      <w:r w:rsidR="0057033E" w:rsidRPr="00E468D8">
        <w:t xml:space="preserve">Eimer &amp; Bobrick, </w:t>
      </w:r>
      <w:r w:rsidR="0057033E" w:rsidRPr="00891953">
        <w:t>2023; Tran et al., 2023; Tushar &amp; Sooraksa, 2023)</w:t>
      </w:r>
      <w:r w:rsidR="0028098E" w:rsidRPr="00891953">
        <w:t xml:space="preserve">. Furthermore, </w:t>
      </w:r>
      <w:r w:rsidR="0028098E" w:rsidRPr="00891953">
        <w:rPr>
          <w:lang w:val="en-US"/>
        </w:rPr>
        <w:t>much</w:t>
      </w:r>
      <w:r w:rsidRPr="00891953">
        <w:rPr>
          <w:lang w:val="en-US"/>
        </w:rPr>
        <w:t xml:space="preserve"> of the existing literature conceptualizes</w:t>
      </w:r>
      <w:r w:rsidRPr="00E468D8">
        <w:rPr>
          <w:lang w:val="en-US"/>
        </w:rPr>
        <w:t xml:space="preserve"> employability as an individual responsibility</w:t>
      </w:r>
      <w:r w:rsidR="0028098E" w:rsidRPr="00E468D8">
        <w:rPr>
          <w:lang w:val="en-US"/>
        </w:rPr>
        <w:t xml:space="preserve"> </w:t>
      </w:r>
      <w:r w:rsidR="00E555C9">
        <w:rPr>
          <w:lang w:val="en-US"/>
        </w:rPr>
        <w:t>for obtaining and maintaining</w:t>
      </w:r>
      <w:r w:rsidR="0028098E" w:rsidRPr="00E468D8">
        <w:rPr>
          <w:lang w:val="en-US"/>
        </w:rPr>
        <w:t xml:space="preserve"> employment</w:t>
      </w:r>
      <w:r w:rsidR="008676A7">
        <w:rPr>
          <w:lang w:val="en-US"/>
        </w:rPr>
        <w:t xml:space="preserve"> </w:t>
      </w:r>
      <w:r w:rsidR="00A91AD2">
        <w:rPr>
          <w:lang w:val="en-US"/>
        </w:rPr>
        <w:t>(</w:t>
      </w:r>
      <w:r w:rsidR="00A91AD2">
        <w:t xml:space="preserve">Clarke et al., 2018; </w:t>
      </w:r>
      <w:r w:rsidR="00A91AD2" w:rsidRPr="00C87797">
        <w:t>Clark et al., 2021;</w:t>
      </w:r>
      <w:r w:rsidR="00D75118">
        <w:t xml:space="preserve"> </w:t>
      </w:r>
      <w:r w:rsidR="00A91AD2" w:rsidRPr="00BA4DC2">
        <w:t>Goulart et al., 2022</w:t>
      </w:r>
      <w:r w:rsidR="00A91AD2">
        <w:t>)</w:t>
      </w:r>
      <w:r w:rsidR="0017203F">
        <w:rPr>
          <w:lang w:val="en-US"/>
        </w:rPr>
        <w:t>, which over-</w:t>
      </w:r>
      <w:r w:rsidRPr="00E468D8">
        <w:rPr>
          <w:lang w:val="en-US"/>
        </w:rPr>
        <w:t>emphasiz</w:t>
      </w:r>
      <w:r w:rsidR="0017203F">
        <w:rPr>
          <w:lang w:val="en-US"/>
        </w:rPr>
        <w:t>es</w:t>
      </w:r>
      <w:r w:rsidRPr="00E468D8">
        <w:rPr>
          <w:lang w:val="en-US"/>
        </w:rPr>
        <w:t xml:space="preserve"> personal attributes and skill acquisition</w:t>
      </w:r>
      <w:r w:rsidR="0017203F">
        <w:rPr>
          <w:lang w:val="en-US"/>
        </w:rPr>
        <w:t xml:space="preserve"> and</w:t>
      </w:r>
      <w:r w:rsidR="0028098E" w:rsidRPr="00E468D8">
        <w:rPr>
          <w:lang w:val="en-US"/>
        </w:rPr>
        <w:t xml:space="preserve"> minimizes</w:t>
      </w:r>
      <w:r w:rsidRPr="00E468D8">
        <w:rPr>
          <w:lang w:val="en-US"/>
        </w:rPr>
        <w:t xml:space="preserve"> the broader social, cultural, and structural contexts that shape skill develop</w:t>
      </w:r>
      <w:r w:rsidR="0017203F">
        <w:rPr>
          <w:lang w:val="en-US"/>
        </w:rPr>
        <w:t>ment</w:t>
      </w:r>
      <w:r w:rsidRPr="00E468D8">
        <w:rPr>
          <w:lang w:val="en-US"/>
        </w:rPr>
        <w:t>. As a result, dominant employability frameworks often adopt deficit-oriented assumptions that position students as lacking rather than recognizing the assets they bring from their home communities to educational spaces</w:t>
      </w:r>
      <w:r w:rsidR="007F5497" w:rsidRPr="00E468D8">
        <w:rPr>
          <w:lang w:val="en-US"/>
        </w:rPr>
        <w:t xml:space="preserve"> </w:t>
      </w:r>
      <w:r w:rsidR="00876D13" w:rsidRPr="00E468D8">
        <w:rPr>
          <w:lang w:val="en-US"/>
        </w:rPr>
        <w:t>(</w:t>
      </w:r>
      <w:r w:rsidR="00A574A6" w:rsidRPr="00E468D8">
        <w:t>Macleod et al., 2022</w:t>
      </w:r>
      <w:r w:rsidR="00E13AFC" w:rsidRPr="00E468D8">
        <w:rPr>
          <w:lang w:val="en-US"/>
        </w:rPr>
        <w:t>;</w:t>
      </w:r>
      <w:r w:rsidR="0004553C" w:rsidRPr="00E468D8">
        <w:rPr>
          <w:lang w:val="en-US"/>
        </w:rPr>
        <w:t xml:space="preserve"> </w:t>
      </w:r>
      <w:r w:rsidR="00E13AFC" w:rsidRPr="00E468D8">
        <w:t>Tran et al., 2023; Tushar &amp; Sooraksa, 2023</w:t>
      </w:r>
      <w:r w:rsidR="00675E64">
        <w:t>; Yosso</w:t>
      </w:r>
      <w:r w:rsidR="0043020C">
        <w:t xml:space="preserve">, </w:t>
      </w:r>
      <w:r w:rsidR="00675E64">
        <w:t>2005</w:t>
      </w:r>
      <w:r w:rsidR="00876D13" w:rsidRPr="00E468D8">
        <w:rPr>
          <w:lang w:val="en-US"/>
        </w:rPr>
        <w:t>)</w:t>
      </w:r>
      <w:r w:rsidRPr="00E468D8">
        <w:rPr>
          <w:lang w:val="en-US"/>
        </w:rPr>
        <w:t xml:space="preserve">. This narrow framing complicates efforts to fully understand how students </w:t>
      </w:r>
      <w:r w:rsidR="00CA40FD" w:rsidRPr="00E468D8">
        <w:rPr>
          <w:lang w:val="en-US"/>
        </w:rPr>
        <w:t>develop</w:t>
      </w:r>
      <w:r w:rsidRPr="00E468D8">
        <w:rPr>
          <w:lang w:val="en-US"/>
        </w:rPr>
        <w:t xml:space="preserve"> employability skills and </w:t>
      </w:r>
      <w:r w:rsidR="00CA40FD" w:rsidRPr="00E468D8">
        <w:rPr>
          <w:lang w:val="en-US"/>
        </w:rPr>
        <w:t>blurs</w:t>
      </w:r>
      <w:r w:rsidRPr="00E468D8">
        <w:rPr>
          <w:lang w:val="en-US"/>
        </w:rPr>
        <w:t xml:space="preserve"> diverse pathways through which those skills are developed, particularly among students from historically marginalized communities</w:t>
      </w:r>
      <w:r w:rsidR="0043020C">
        <w:rPr>
          <w:lang w:val="en-US"/>
        </w:rPr>
        <w:t xml:space="preserve"> </w:t>
      </w:r>
      <w:r w:rsidR="0043020C" w:rsidRPr="00B91697">
        <w:rPr>
          <w:lang w:val="en-US"/>
        </w:rPr>
        <w:t>(</w:t>
      </w:r>
      <w:r w:rsidR="001C2019" w:rsidRPr="00B91697">
        <w:rPr>
          <w:lang w:val="en-US"/>
        </w:rPr>
        <w:t xml:space="preserve">Hora &amp; </w:t>
      </w:r>
      <w:r w:rsidR="00E45B35" w:rsidRPr="00B91697">
        <w:rPr>
          <w:lang w:val="en-US"/>
        </w:rPr>
        <w:t>Benbow</w:t>
      </w:r>
      <w:r w:rsidR="00B91697" w:rsidRPr="00B91697">
        <w:rPr>
          <w:lang w:val="en-US"/>
        </w:rPr>
        <w:t>,</w:t>
      </w:r>
      <w:r w:rsidR="001C2019" w:rsidRPr="00B91697">
        <w:rPr>
          <w:lang w:val="en-US"/>
        </w:rPr>
        <w:t xml:space="preserve"> 2024</w:t>
      </w:r>
      <w:r w:rsidR="00E45B35" w:rsidRPr="00B91697">
        <w:rPr>
          <w:lang w:val="en-US"/>
        </w:rPr>
        <w:t>)</w:t>
      </w:r>
      <w:r w:rsidR="0052075D" w:rsidRPr="00B91697">
        <w:rPr>
          <w:lang w:val="en-US"/>
        </w:rPr>
        <w:t>.</w:t>
      </w:r>
    </w:p>
    <w:p w14:paraId="5E164903" w14:textId="77777777" w:rsidR="0028098E" w:rsidRPr="00E468D8" w:rsidRDefault="0028098E" w:rsidP="0057033E">
      <w:pPr>
        <w:rPr>
          <w:lang w:val="en-US"/>
        </w:rPr>
      </w:pPr>
    </w:p>
    <w:p w14:paraId="3BC9ED24" w14:textId="03473345" w:rsidR="006B4035" w:rsidRPr="00E468D8" w:rsidRDefault="006B4035" w:rsidP="0057033E">
      <w:pPr>
        <w:ind w:firstLine="720"/>
        <w:rPr>
          <w:lang w:val="en-US"/>
        </w:rPr>
      </w:pPr>
      <w:r w:rsidRPr="00E468D8">
        <w:rPr>
          <w:lang w:val="en-US"/>
        </w:rPr>
        <w:t xml:space="preserve">Within the agricultural sector, </w:t>
      </w:r>
      <w:r w:rsidR="00D07915" w:rsidRPr="00E468D8">
        <w:rPr>
          <w:lang w:val="en-US"/>
        </w:rPr>
        <w:t>persistent</w:t>
      </w:r>
      <w:r w:rsidRPr="00E468D8">
        <w:rPr>
          <w:lang w:val="en-US"/>
        </w:rPr>
        <w:t xml:space="preserve"> demographic disparities further underscore the limitations of prevailing employability </w:t>
      </w:r>
      <w:r w:rsidRPr="00983369">
        <w:rPr>
          <w:lang w:val="en-US"/>
        </w:rPr>
        <w:t>narratives (</w:t>
      </w:r>
      <w:r w:rsidR="00B322E7" w:rsidRPr="00983369">
        <w:rPr>
          <w:lang w:val="en-US"/>
        </w:rPr>
        <w:t>Brown, 2018</w:t>
      </w:r>
      <w:r w:rsidRPr="00983369">
        <w:rPr>
          <w:lang w:val="en-US"/>
        </w:rPr>
        <w:t>).</w:t>
      </w:r>
      <w:r w:rsidRPr="00E468D8">
        <w:rPr>
          <w:lang w:val="en-US"/>
        </w:rPr>
        <w:t xml:space="preserve"> Although agriculture remains a critical component of the U</w:t>
      </w:r>
      <w:r w:rsidR="00876D13" w:rsidRPr="00E468D8">
        <w:rPr>
          <w:lang w:val="en-US"/>
        </w:rPr>
        <w:t xml:space="preserve">nited </w:t>
      </w:r>
      <w:r w:rsidRPr="00E468D8">
        <w:rPr>
          <w:lang w:val="en-US"/>
        </w:rPr>
        <w:t>S</w:t>
      </w:r>
      <w:r w:rsidR="00876D13" w:rsidRPr="00E468D8">
        <w:rPr>
          <w:lang w:val="en-US"/>
        </w:rPr>
        <w:t>tates</w:t>
      </w:r>
      <w:r w:rsidRPr="00E468D8">
        <w:rPr>
          <w:lang w:val="en-US"/>
        </w:rPr>
        <w:t xml:space="preserve"> economy, Black women continue to be significantly underrepresented in agricultural education and careers. This underrepresentation persists despite Black women’s long-standing historical contributions to agriculture and their extensive cultural knowledge, skills, and community-based expertise</w:t>
      </w:r>
      <w:r w:rsidR="00CA40FD" w:rsidRPr="00E468D8">
        <w:rPr>
          <w:lang w:val="en-US"/>
        </w:rPr>
        <w:t xml:space="preserve"> (</w:t>
      </w:r>
      <w:r w:rsidR="00CA40FD" w:rsidRPr="00E468D8">
        <w:t>Joseph et al., 2024; Wilson, 2021)</w:t>
      </w:r>
      <w:r w:rsidRPr="00E468D8">
        <w:rPr>
          <w:lang w:val="en-US"/>
        </w:rPr>
        <w:t>. Structural barriers, including limited access to land</w:t>
      </w:r>
      <w:r w:rsidR="002E1439">
        <w:rPr>
          <w:lang w:val="en-US"/>
        </w:rPr>
        <w:t xml:space="preserve"> </w:t>
      </w:r>
      <w:r w:rsidR="002E1439" w:rsidRPr="00B91697">
        <w:rPr>
          <w:lang w:val="en-US"/>
        </w:rPr>
        <w:t>(</w:t>
      </w:r>
      <w:proofErr w:type="spellStart"/>
      <w:r w:rsidR="00A923FF" w:rsidRPr="00B91697">
        <w:t>Pilgeram</w:t>
      </w:r>
      <w:proofErr w:type="spellEnd"/>
      <w:r w:rsidR="00A923FF" w:rsidRPr="00B91697">
        <w:t xml:space="preserve"> et al., 2022</w:t>
      </w:r>
      <w:r w:rsidR="002E1439" w:rsidRPr="00B91697">
        <w:rPr>
          <w:lang w:val="en-US"/>
        </w:rPr>
        <w:t>)</w:t>
      </w:r>
      <w:r w:rsidRPr="00B91697">
        <w:rPr>
          <w:lang w:val="en-US"/>
        </w:rPr>
        <w:t xml:space="preserve">, </w:t>
      </w:r>
      <w:r w:rsidRPr="00E468D8">
        <w:rPr>
          <w:lang w:val="en-US"/>
        </w:rPr>
        <w:t>exclusion from agricultural education opportunities</w:t>
      </w:r>
      <w:r w:rsidR="002E1439">
        <w:rPr>
          <w:lang w:val="en-US"/>
        </w:rPr>
        <w:t xml:space="preserve"> </w:t>
      </w:r>
      <w:r w:rsidR="002E1439" w:rsidRPr="009207CC">
        <w:rPr>
          <w:lang w:val="en-US"/>
        </w:rPr>
        <w:t>(</w:t>
      </w:r>
      <w:r w:rsidR="009207CC" w:rsidRPr="00C87797">
        <w:rPr>
          <w:lang w:val="en-US"/>
        </w:rPr>
        <w:t>Martin et al., 2025</w:t>
      </w:r>
      <w:r w:rsidR="009207CC" w:rsidRPr="009207CC">
        <w:rPr>
          <w:lang w:val="en-US"/>
        </w:rPr>
        <w:t>)</w:t>
      </w:r>
      <w:r w:rsidRPr="009207CC">
        <w:rPr>
          <w:lang w:val="en-US"/>
        </w:rPr>
        <w:t>, and historically discriminatory practices</w:t>
      </w:r>
      <w:r w:rsidR="0010069A" w:rsidRPr="009207CC">
        <w:rPr>
          <w:lang w:val="en-US"/>
        </w:rPr>
        <w:t xml:space="preserve"> </w:t>
      </w:r>
      <w:r w:rsidR="0010069A" w:rsidRPr="001A04DD">
        <w:rPr>
          <w:lang w:val="en-US"/>
        </w:rPr>
        <w:t>(</w:t>
      </w:r>
      <w:proofErr w:type="spellStart"/>
      <w:r w:rsidR="009207CC" w:rsidRPr="001A04DD">
        <w:t>Haverroth</w:t>
      </w:r>
      <w:proofErr w:type="spellEnd"/>
      <w:r w:rsidR="009207CC" w:rsidRPr="009F2BAA">
        <w:t xml:space="preserve"> et al., 2024; </w:t>
      </w:r>
      <w:r w:rsidR="009207CC" w:rsidRPr="00C87797">
        <w:t>Ransom, 2024;</w:t>
      </w:r>
      <w:r w:rsidR="009207CC" w:rsidRPr="009F2BAA">
        <w:t xml:space="preserve"> </w:t>
      </w:r>
      <w:r w:rsidR="009207CC" w:rsidRPr="00B91697">
        <w:t>Tou</w:t>
      </w:r>
      <w:r w:rsidR="00FD05FE" w:rsidRPr="00B91697">
        <w:t>z</w:t>
      </w:r>
      <w:r w:rsidR="009207CC" w:rsidRPr="00B91697">
        <w:t>eau, 201</w:t>
      </w:r>
      <w:r w:rsidR="00FD05FE" w:rsidRPr="00B91697">
        <w:t>9</w:t>
      </w:r>
      <w:r w:rsidR="00B4014A" w:rsidRPr="00B91697">
        <w:t>)</w:t>
      </w:r>
      <w:r w:rsidR="00E26891" w:rsidRPr="00B91697">
        <w:t>,</w:t>
      </w:r>
      <w:r w:rsidR="00B4014A" w:rsidRPr="00B91697">
        <w:t xml:space="preserve"> </w:t>
      </w:r>
      <w:r w:rsidRPr="00E468D8">
        <w:rPr>
          <w:lang w:val="en-US"/>
        </w:rPr>
        <w:t xml:space="preserve">have constrained </w:t>
      </w:r>
      <w:r w:rsidR="00E26891">
        <w:rPr>
          <w:lang w:val="en-US"/>
        </w:rPr>
        <w:t xml:space="preserve">the </w:t>
      </w:r>
      <w:r w:rsidRPr="00E468D8">
        <w:rPr>
          <w:lang w:val="en-US"/>
        </w:rPr>
        <w:t xml:space="preserve">participation </w:t>
      </w:r>
      <w:r w:rsidR="0017203F">
        <w:rPr>
          <w:lang w:val="en-US"/>
        </w:rPr>
        <w:t xml:space="preserve">of Black women </w:t>
      </w:r>
      <w:r w:rsidRPr="00E468D8">
        <w:rPr>
          <w:lang w:val="en-US"/>
        </w:rPr>
        <w:t>while simultaneously rendering</w:t>
      </w:r>
      <w:r w:rsidR="0017203F">
        <w:rPr>
          <w:lang w:val="en-US"/>
        </w:rPr>
        <w:t xml:space="preserve"> largely invisible</w:t>
      </w:r>
      <w:r w:rsidRPr="00E468D8">
        <w:rPr>
          <w:lang w:val="en-US"/>
        </w:rPr>
        <w:t xml:space="preserve"> </w:t>
      </w:r>
      <w:r w:rsidR="0017203F">
        <w:rPr>
          <w:lang w:val="en-US"/>
        </w:rPr>
        <w:t>their</w:t>
      </w:r>
      <w:r w:rsidRPr="00E468D8">
        <w:rPr>
          <w:lang w:val="en-US"/>
        </w:rPr>
        <w:t xml:space="preserve"> strengths within dominant workforce preparation models. The intersection of race and gender creates unique challenges for Black women navigating predominantly White institutions (PWIs), yet it also generates distinctive forms of knowledge and skill development that are rarely examined in employability research.</w:t>
      </w:r>
    </w:p>
    <w:p w14:paraId="7775616F" w14:textId="77777777" w:rsidR="00410673" w:rsidRPr="00E468D8" w:rsidRDefault="00410673" w:rsidP="0057033E">
      <w:pPr>
        <w:rPr>
          <w:lang w:val="en-US"/>
        </w:rPr>
      </w:pPr>
    </w:p>
    <w:p w14:paraId="258B114D" w14:textId="5F9DB6F8" w:rsidR="00B35953" w:rsidRPr="00097D61" w:rsidRDefault="006B4035" w:rsidP="00881992">
      <w:pPr>
        <w:ind w:firstLine="720"/>
        <w:rPr>
          <w:lang w:val="en-US"/>
        </w:rPr>
      </w:pPr>
      <w:r w:rsidRPr="00E468D8">
        <w:rPr>
          <w:lang w:val="en-US"/>
        </w:rPr>
        <w:t>Scholars have increasingly called for asset-based approaches that move beyond deficit perspectives to better understand how marginalized students succeed within higher education</w:t>
      </w:r>
      <w:r w:rsidR="00876D13" w:rsidRPr="00E468D8">
        <w:rPr>
          <w:lang w:val="en-US"/>
        </w:rPr>
        <w:t xml:space="preserve"> </w:t>
      </w:r>
      <w:r w:rsidR="00876D13" w:rsidRPr="009F2BAA">
        <w:rPr>
          <w:lang w:val="en-US"/>
        </w:rPr>
        <w:t>(</w:t>
      </w:r>
      <w:r w:rsidR="009207CC" w:rsidRPr="009F2BAA">
        <w:t>Ladson-Billings, 1995</w:t>
      </w:r>
      <w:r w:rsidR="009207CC" w:rsidRPr="00B91697">
        <w:t xml:space="preserve">; </w:t>
      </w:r>
      <w:r w:rsidR="00881992" w:rsidRPr="00881992">
        <w:rPr>
          <w:lang w:val="en-US"/>
        </w:rPr>
        <w:t>Rendón</w:t>
      </w:r>
      <w:r w:rsidR="00EA6B46">
        <w:rPr>
          <w:lang w:val="en-US"/>
        </w:rPr>
        <w:t>,</w:t>
      </w:r>
      <w:r w:rsidR="00881992">
        <w:rPr>
          <w:lang w:val="en-US"/>
        </w:rPr>
        <w:t xml:space="preserve"> 1990</w:t>
      </w:r>
      <w:r w:rsidR="00D75118" w:rsidRPr="00B91697">
        <w:t>;</w:t>
      </w:r>
      <w:r w:rsidR="00D75118" w:rsidRPr="00B91697">
        <w:rPr>
          <w:lang w:val="en-US"/>
        </w:rPr>
        <w:t xml:space="preserve"> </w:t>
      </w:r>
      <w:r w:rsidR="00D75118" w:rsidRPr="009F2BAA">
        <w:rPr>
          <w:lang w:val="en-US"/>
        </w:rPr>
        <w:t>Yosso</w:t>
      </w:r>
      <w:r w:rsidR="003D6982" w:rsidRPr="009F2BAA">
        <w:rPr>
          <w:lang w:val="en-US"/>
        </w:rPr>
        <w:t>, 2005</w:t>
      </w:r>
      <w:r w:rsidR="00D300D8" w:rsidRPr="009F2BAA">
        <w:rPr>
          <w:lang w:val="en-US"/>
        </w:rPr>
        <w:t xml:space="preserve">; </w:t>
      </w:r>
      <w:r w:rsidR="009207CC" w:rsidRPr="009F2BAA">
        <w:t xml:space="preserve">Kiyama &amp; Rios-Aguilar, 2018; Jackson-Cole &amp; </w:t>
      </w:r>
      <w:proofErr w:type="spellStart"/>
      <w:r w:rsidR="009207CC" w:rsidRPr="009F2BAA">
        <w:t>Chadderton</w:t>
      </w:r>
      <w:proofErr w:type="spellEnd"/>
      <w:r w:rsidR="009207CC" w:rsidRPr="009F2BAA">
        <w:t>, 2025</w:t>
      </w:r>
      <w:r w:rsidR="00EA6B46">
        <w:t>; Smalls, 2024</w:t>
      </w:r>
      <w:r w:rsidR="009207CC" w:rsidRPr="009207CC">
        <w:rPr>
          <w:lang w:val="en-US"/>
        </w:rPr>
        <w:t>)</w:t>
      </w:r>
      <w:r w:rsidRPr="009207CC">
        <w:rPr>
          <w:lang w:val="en-US"/>
        </w:rPr>
        <w:t>.</w:t>
      </w:r>
      <w:r w:rsidRPr="00E468D8">
        <w:rPr>
          <w:lang w:val="en-US"/>
        </w:rPr>
        <w:t xml:space="preserve"> Community Cultural Wealth (CCW) offers a critical theoretical lens for examining how students draw upon aspirational, familial, navigational, social, linguistic, and resistant forms of capital to persist and thrive in environments not designed with them in mind</w:t>
      </w:r>
      <w:r w:rsidR="00876D13" w:rsidRPr="00E468D8">
        <w:rPr>
          <w:lang w:val="en-US"/>
        </w:rPr>
        <w:t xml:space="preserve"> (</w:t>
      </w:r>
      <w:r w:rsidR="009D0D09" w:rsidRPr="00E468D8">
        <w:rPr>
          <w:lang w:val="en-US"/>
        </w:rPr>
        <w:t>Yosso, 2005</w:t>
      </w:r>
      <w:r w:rsidR="00876D13" w:rsidRPr="00E468D8">
        <w:rPr>
          <w:lang w:val="en-US"/>
        </w:rPr>
        <w:t>)</w:t>
      </w:r>
      <w:r w:rsidRPr="00E468D8">
        <w:rPr>
          <w:lang w:val="en-US"/>
        </w:rPr>
        <w:t xml:space="preserve">. However, limited research has applied CCW to </w:t>
      </w:r>
      <w:r w:rsidR="00CC252A">
        <w:rPr>
          <w:lang w:val="en-US"/>
        </w:rPr>
        <w:t>the development of employability skills</w:t>
      </w:r>
      <w:r w:rsidRPr="00E468D8">
        <w:rPr>
          <w:lang w:val="en-US"/>
        </w:rPr>
        <w:t xml:space="preserve"> within agricultural education contexts, particularly among Black women enrolled in undergraduate programs at PWIs. Addressing this gap is essential for expanding the conceptualization of employability and for recognizing the culturally sustaining strengths that students bring from their homes and communities into academic and professional preparation spaces.</w:t>
      </w:r>
      <w:r w:rsidR="00EF6950">
        <w:rPr>
          <w:lang w:val="en-US"/>
        </w:rPr>
        <w:t xml:space="preserve"> </w:t>
      </w:r>
      <w:r w:rsidR="00886852">
        <w:rPr>
          <w:lang w:val="en-US"/>
        </w:rPr>
        <w:t>In response to this dearth of research, this study drew</w:t>
      </w:r>
      <w:r w:rsidRPr="00E468D8">
        <w:rPr>
          <w:lang w:val="en-US"/>
        </w:rPr>
        <w:t xml:space="preserve"> on Community Cultural Wealth to reframe </w:t>
      </w:r>
      <w:r w:rsidR="00410673" w:rsidRPr="00E468D8">
        <w:rPr>
          <w:lang w:val="en-US"/>
        </w:rPr>
        <w:t>the development of employability skills</w:t>
      </w:r>
      <w:r w:rsidRPr="00E468D8">
        <w:rPr>
          <w:lang w:val="en-US"/>
        </w:rPr>
        <w:t xml:space="preserve"> among Black women students enrolled in an undergraduate agricultural program at a </w:t>
      </w:r>
      <w:r w:rsidR="00562A57">
        <w:rPr>
          <w:lang w:val="en-US"/>
        </w:rPr>
        <w:t>PWI</w:t>
      </w:r>
      <w:r w:rsidRPr="00E468D8">
        <w:rPr>
          <w:lang w:val="en-US"/>
        </w:rPr>
        <w:t xml:space="preserve">. By centering Black women’s voices and experiences, this research </w:t>
      </w:r>
      <w:r w:rsidR="00410673" w:rsidRPr="00E468D8">
        <w:rPr>
          <w:lang w:val="en-US"/>
        </w:rPr>
        <w:t xml:space="preserve">aims to illuminate how employability skills are cultivated through cultural assets developed within and beyond formal educational settings, offering </w:t>
      </w:r>
      <w:r w:rsidR="00D75118" w:rsidRPr="00E468D8">
        <w:rPr>
          <w:lang w:val="en-US"/>
        </w:rPr>
        <w:t>a</w:t>
      </w:r>
      <w:r w:rsidR="00D75118">
        <w:rPr>
          <w:lang w:val="en-US"/>
        </w:rPr>
        <w:t xml:space="preserve"> counter-narrative</w:t>
      </w:r>
      <w:r w:rsidR="00410673" w:rsidRPr="00E468D8">
        <w:rPr>
          <w:lang w:val="en-US"/>
        </w:rPr>
        <w:t xml:space="preserve"> that challenges deficit-based assumptions and broadens our </w:t>
      </w:r>
      <w:r w:rsidRPr="00E468D8">
        <w:rPr>
          <w:lang w:val="en-US"/>
        </w:rPr>
        <w:t>understanding of workforce readiness in agricultural education.</w:t>
      </w:r>
    </w:p>
    <w:p w14:paraId="64387299" w14:textId="77777777" w:rsidR="00B35953" w:rsidRDefault="00B35953" w:rsidP="009F2BAA">
      <w:pPr>
        <w:ind w:left="1080"/>
        <w:jc w:val="center"/>
        <w:rPr>
          <w:b/>
          <w:bCs/>
        </w:rPr>
      </w:pPr>
    </w:p>
    <w:p w14:paraId="32CEEF1E" w14:textId="632381D3" w:rsidR="00410673" w:rsidRPr="005C3FA2" w:rsidRDefault="00410673" w:rsidP="009F2BAA">
      <w:pPr>
        <w:ind w:left="1080"/>
        <w:jc w:val="center"/>
        <w:rPr>
          <w:b/>
          <w:bCs/>
        </w:rPr>
      </w:pPr>
      <w:r w:rsidRPr="005C3FA2">
        <w:rPr>
          <w:b/>
          <w:bCs/>
        </w:rPr>
        <w:lastRenderedPageBreak/>
        <w:t>Purpose and Research Question</w:t>
      </w:r>
    </w:p>
    <w:p w14:paraId="47B8163C" w14:textId="41CA38FB" w:rsidR="00410673" w:rsidRPr="00E468D8" w:rsidRDefault="00410673"/>
    <w:p w14:paraId="7C39C872" w14:textId="2C6A17C1" w:rsidR="00410673" w:rsidRPr="00E468D8" w:rsidRDefault="00410673" w:rsidP="009F2BAA">
      <w:pPr>
        <w:ind w:firstLine="720"/>
      </w:pPr>
      <w:r w:rsidRPr="00E468D8">
        <w:t xml:space="preserve">This </w:t>
      </w:r>
      <w:r w:rsidR="00A3666E">
        <w:t>research</w:t>
      </w:r>
      <w:r w:rsidRPr="00E468D8">
        <w:t xml:space="preserve"> aimed to understand the experiences of </w:t>
      </w:r>
      <w:r w:rsidR="0014010A">
        <w:t>Black</w:t>
      </w:r>
      <w:r w:rsidRPr="00E468D8">
        <w:t xml:space="preserve"> women students enrolled in an undergraduate agricultural program and the ways in which they leverage community cultural wealth as a foundation </w:t>
      </w:r>
      <w:r w:rsidR="0012580B">
        <w:t>for developing</w:t>
      </w:r>
      <w:r w:rsidRPr="00E468D8">
        <w:t xml:space="preserve"> employability skills. </w:t>
      </w:r>
      <w:r w:rsidR="00A20011" w:rsidRPr="00E468D8">
        <w:t>The key question sought in this inquiry was:</w:t>
      </w:r>
    </w:p>
    <w:p w14:paraId="6420959E" w14:textId="5B7A21BB" w:rsidR="00E91C16" w:rsidRPr="00E468D8" w:rsidRDefault="00410673" w:rsidP="009F2BAA">
      <w:r w:rsidRPr="00E468D8">
        <w:t>RQ1.</w:t>
      </w:r>
      <w:r w:rsidRPr="00E468D8">
        <w:tab/>
        <w:t xml:space="preserve">How do Black women develop their employability skills in undergraduate agricultural programs at a </w:t>
      </w:r>
      <w:r w:rsidR="00886852">
        <w:t>PWI</w:t>
      </w:r>
      <w:r w:rsidRPr="00E468D8">
        <w:t xml:space="preserve">? </w:t>
      </w:r>
    </w:p>
    <w:p w14:paraId="6E1865FA" w14:textId="77777777" w:rsidR="008B6E47" w:rsidRPr="00E468D8" w:rsidRDefault="008B6E47" w:rsidP="0057033E">
      <w:pPr>
        <w:rPr>
          <w:b/>
          <w:bCs/>
        </w:rPr>
      </w:pPr>
    </w:p>
    <w:p w14:paraId="671D5BD6" w14:textId="4D207B3E" w:rsidR="00410673" w:rsidRPr="00E468D8" w:rsidRDefault="00410673" w:rsidP="00E02EAA">
      <w:pPr>
        <w:jc w:val="center"/>
        <w:rPr>
          <w:b/>
          <w:bCs/>
        </w:rPr>
      </w:pPr>
      <w:r w:rsidRPr="00E468D8">
        <w:rPr>
          <w:b/>
          <w:bCs/>
        </w:rPr>
        <w:t>Conceptual Framewor</w:t>
      </w:r>
      <w:r w:rsidR="00B40C66">
        <w:rPr>
          <w:b/>
          <w:bCs/>
        </w:rPr>
        <w:t>k</w:t>
      </w:r>
    </w:p>
    <w:p w14:paraId="5DC9D966" w14:textId="77777777" w:rsidR="004900F6" w:rsidRPr="00E468D8" w:rsidRDefault="004900F6" w:rsidP="0057033E">
      <w:pPr>
        <w:rPr>
          <w:b/>
          <w:bCs/>
        </w:rPr>
      </w:pPr>
    </w:p>
    <w:p w14:paraId="326904DD" w14:textId="725E7A7F" w:rsidR="00A4515D" w:rsidRPr="00E468D8" w:rsidRDefault="00A4515D" w:rsidP="0057033E">
      <w:pPr>
        <w:ind w:firstLine="720"/>
        <w:rPr>
          <w:lang w:val="en-US"/>
        </w:rPr>
      </w:pPr>
      <w:r w:rsidRPr="00E468D8">
        <w:rPr>
          <w:lang w:val="en-US"/>
        </w:rPr>
        <w:t xml:space="preserve">This </w:t>
      </w:r>
      <w:r w:rsidR="00A3666E">
        <w:rPr>
          <w:lang w:val="en-US"/>
        </w:rPr>
        <w:t>s</w:t>
      </w:r>
      <w:r w:rsidR="00692C1E">
        <w:rPr>
          <w:lang w:val="en-US"/>
        </w:rPr>
        <w:t>tudy</w:t>
      </w:r>
      <w:r w:rsidRPr="00E468D8">
        <w:rPr>
          <w:lang w:val="en-US"/>
        </w:rPr>
        <w:t xml:space="preserve"> employed two frameworks to examine</w:t>
      </w:r>
      <w:r w:rsidR="00E91C16">
        <w:rPr>
          <w:lang w:val="en-US"/>
        </w:rPr>
        <w:t xml:space="preserve"> </w:t>
      </w:r>
      <w:r w:rsidRPr="00E468D8">
        <w:rPr>
          <w:lang w:val="en-US"/>
        </w:rPr>
        <w:t>the forms of capital Black women draw upon to develop employability skills within an undergraduate education program. Specifically, it was guided</w:t>
      </w:r>
      <w:r w:rsidR="00A70470" w:rsidRPr="00E468D8">
        <w:rPr>
          <w:lang w:val="en-US"/>
        </w:rPr>
        <w:t xml:space="preserve"> through the lens of</w:t>
      </w:r>
      <w:r w:rsidRPr="00E468D8">
        <w:rPr>
          <w:lang w:val="en-US"/>
        </w:rPr>
        <w:t xml:space="preserve"> </w:t>
      </w:r>
      <w:r w:rsidR="00A70470" w:rsidRPr="00E468D8">
        <w:rPr>
          <w:lang w:val="en-US"/>
        </w:rPr>
        <w:t xml:space="preserve">the </w:t>
      </w:r>
      <w:r w:rsidRPr="00E468D8">
        <w:rPr>
          <w:lang w:val="en-US"/>
        </w:rPr>
        <w:t>Community Cultural Wealth (CCW) framework (Yosso, 2005) and the Employability Skills Framework (</w:t>
      </w:r>
      <w:r w:rsidR="009D7F34" w:rsidRPr="00E26891">
        <w:t>United States Department of Education and Office of Career, Technical and Adult Education, 2018</w:t>
      </w:r>
      <w:r w:rsidRPr="00E26891">
        <w:rPr>
          <w:lang w:val="en-US"/>
        </w:rPr>
        <w:t>)</w:t>
      </w:r>
      <w:r w:rsidR="00886852" w:rsidRPr="00E26891">
        <w:rPr>
          <w:lang w:val="en-US"/>
        </w:rPr>
        <w:t>;</w:t>
      </w:r>
      <w:r w:rsidR="00886852">
        <w:rPr>
          <w:lang w:val="en-US"/>
        </w:rPr>
        <w:t xml:space="preserve"> </w:t>
      </w:r>
      <w:r w:rsidRPr="00E468D8">
        <w:rPr>
          <w:lang w:val="en-US"/>
        </w:rPr>
        <w:t>together capture both internal and external strengths that students use to cultivate the skills necessary for success in agriculture.</w:t>
      </w:r>
    </w:p>
    <w:p w14:paraId="33C96C71" w14:textId="77777777" w:rsidR="00A70470" w:rsidRPr="00E468D8" w:rsidRDefault="00A70470" w:rsidP="0057033E">
      <w:pPr>
        <w:rPr>
          <w:lang w:val="en-US"/>
        </w:rPr>
      </w:pPr>
    </w:p>
    <w:p w14:paraId="01EC68AE" w14:textId="4F7C8C86" w:rsidR="00A4515D" w:rsidRPr="00E468D8" w:rsidRDefault="00A4515D" w:rsidP="005B475A">
      <w:pPr>
        <w:ind w:firstLine="720"/>
        <w:rPr>
          <w:lang w:val="en-US"/>
        </w:rPr>
      </w:pPr>
      <w:r w:rsidRPr="00E468D8">
        <w:rPr>
          <w:lang w:val="en-US"/>
        </w:rPr>
        <w:t xml:space="preserve">Community Cultural Wealth offers an asset-based perspective that highlights the forms of capital students of color bring from their home communities into educational spaces. </w:t>
      </w:r>
      <w:r w:rsidR="005B475A" w:rsidRPr="005B475A">
        <w:rPr>
          <w:lang w:val="en-US"/>
        </w:rPr>
        <w:t>Yosso (2005) identified six forms of capital: aspirational, navigational, resistant, familial, linguistic, and social. Aspirational capital reflected students’ ability to maintain hopes and dreams for their future careers despite real or perceived barriers. Navigational capital included the skills necessary to navigate large social systems that were not originally designed for them. Social capital represented the networks within the student community that provided educational resources and guidance. Familial capital included support from family and the broader social community. Resistant capital enabled students to challenge the status quo and reshape stereotypes. Linguistic capital referred to the diverse communication styles and language practices students employed to connect and succeed in their programs.</w:t>
      </w:r>
      <w:r w:rsidR="005B475A">
        <w:rPr>
          <w:lang w:val="en-US"/>
        </w:rPr>
        <w:t xml:space="preserve"> </w:t>
      </w:r>
      <w:r w:rsidRPr="005B475A">
        <w:rPr>
          <w:lang w:val="en-US"/>
        </w:rPr>
        <w:t>Historically, communities of color have been defined by perceived</w:t>
      </w:r>
      <w:r w:rsidRPr="00E468D8">
        <w:rPr>
          <w:lang w:val="en-US"/>
        </w:rPr>
        <w:t xml:space="preserve"> deficits in these areas, which have limited their academic and social outcomes</w:t>
      </w:r>
      <w:r w:rsidR="00923432" w:rsidRPr="00E468D8">
        <w:rPr>
          <w:lang w:val="en-US"/>
        </w:rPr>
        <w:t xml:space="preserve"> (</w:t>
      </w:r>
      <w:r w:rsidR="00D908C4" w:rsidRPr="00E468D8">
        <w:rPr>
          <w:color w:val="000000"/>
        </w:rPr>
        <w:t>Aranda III &amp; Hager, 2022</w:t>
      </w:r>
      <w:r w:rsidR="00923432" w:rsidRPr="00E468D8">
        <w:rPr>
          <w:lang w:val="en-US"/>
        </w:rPr>
        <w:t>)</w:t>
      </w:r>
      <w:r w:rsidRPr="00E468D8">
        <w:rPr>
          <w:lang w:val="en-US"/>
        </w:rPr>
        <w:t xml:space="preserve">. In contrast, the CCW framework highlights the rich assets these students bring and demonstrates how they can be leveraged to </w:t>
      </w:r>
      <w:r w:rsidR="001646E8">
        <w:rPr>
          <w:lang w:val="en-US"/>
        </w:rPr>
        <w:t>develop</w:t>
      </w:r>
      <w:r w:rsidRPr="00E468D8">
        <w:rPr>
          <w:lang w:val="en-US"/>
        </w:rPr>
        <w:t xml:space="preserve"> employability skills</w:t>
      </w:r>
      <w:r w:rsidR="00923432" w:rsidRPr="00E468D8">
        <w:rPr>
          <w:lang w:val="en-US"/>
        </w:rPr>
        <w:t xml:space="preserve"> (Yosso, 2005)</w:t>
      </w:r>
      <w:r w:rsidRPr="00E468D8">
        <w:rPr>
          <w:lang w:val="en-US"/>
        </w:rPr>
        <w:t>.</w:t>
      </w:r>
    </w:p>
    <w:p w14:paraId="18302A0A" w14:textId="77777777" w:rsidR="00A4515D" w:rsidRPr="00E468D8" w:rsidRDefault="00A4515D" w:rsidP="0057033E">
      <w:pPr>
        <w:rPr>
          <w:lang w:val="en-US"/>
        </w:rPr>
      </w:pPr>
    </w:p>
    <w:p w14:paraId="72EB5202" w14:textId="2AB66181" w:rsidR="00C853C6" w:rsidRPr="00E468D8" w:rsidRDefault="00752B94" w:rsidP="0057033E">
      <w:pPr>
        <w:ind w:firstLine="720"/>
      </w:pPr>
      <w:r>
        <w:t>Working in concert to frame this research</w:t>
      </w:r>
      <w:r w:rsidR="00A4515D" w:rsidRPr="00E468D8">
        <w:t>, the employability skills framework focuse</w:t>
      </w:r>
      <w:r>
        <w:t>d</w:t>
      </w:r>
      <w:r w:rsidR="00A4515D" w:rsidRPr="00E468D8">
        <w:t xml:space="preserve"> on the 21st-century critical skills participants </w:t>
      </w:r>
      <w:r w:rsidR="00C42470" w:rsidRPr="00E468D8">
        <w:t>should possess to be career-ready (</w:t>
      </w:r>
      <w:r w:rsidR="00C01EC4" w:rsidRPr="00E468D8">
        <w:t>United States Department of Education and Office of Career, Technical and Adult Education, 2018</w:t>
      </w:r>
      <w:r w:rsidR="00C42470" w:rsidRPr="00E468D8">
        <w:t xml:space="preserve">). </w:t>
      </w:r>
      <w:r w:rsidR="004900F6" w:rsidRPr="00E468D8">
        <w:rPr>
          <w:iCs/>
        </w:rPr>
        <w:t xml:space="preserve">The main facets of the framework include applied knowledge, effective relationships, and workplace skills. Each of these three facets is further broken down into several specific subgroups that address the employability skills of the Black women’s experience. </w:t>
      </w:r>
      <w:r w:rsidR="004900F6" w:rsidRPr="00E468D8">
        <w:t xml:space="preserve">Employability is important because it maximizes an individual's chances of obtaining material benefits (Goulart et al., 2022). Some universities </w:t>
      </w:r>
      <w:r>
        <w:t>have</w:t>
      </w:r>
      <w:r w:rsidRPr="00E468D8">
        <w:t xml:space="preserve"> </w:t>
      </w:r>
      <w:r w:rsidR="004900F6" w:rsidRPr="00E468D8">
        <w:t xml:space="preserve">dedicated </w:t>
      </w:r>
      <w:r w:rsidR="000C3C3F">
        <w:t>themselves to establishing educational programs that, through meticulous planning, will provide meaningful learning and growth for students,</w:t>
      </w:r>
      <w:r>
        <w:t xml:space="preserve"> with specific attention to b</w:t>
      </w:r>
      <w:r w:rsidR="004900F6" w:rsidRPr="00E468D8">
        <w:t>uilding employability skills in industry-relevant ways (Goulart et al., 2022). Thus, many university programs recognize the importance of employability skills</w:t>
      </w:r>
      <w:r w:rsidR="009A3270" w:rsidRPr="00E468D8">
        <w:t xml:space="preserve">, such as participation in community </w:t>
      </w:r>
      <w:r w:rsidR="0085295E" w:rsidRPr="00E468D8">
        <w:t xml:space="preserve">and academic </w:t>
      </w:r>
      <w:r w:rsidR="009A3270" w:rsidRPr="00E468D8">
        <w:t>service-learning programs (</w:t>
      </w:r>
      <w:r w:rsidR="009765FB" w:rsidRPr="00E468D8">
        <w:t xml:space="preserve">Parrella,2024) </w:t>
      </w:r>
    </w:p>
    <w:p w14:paraId="0B4FE902" w14:textId="77777777" w:rsidR="00C853C6" w:rsidRPr="00E468D8" w:rsidRDefault="00C853C6" w:rsidP="0057033E"/>
    <w:p w14:paraId="6B4BA2A0" w14:textId="36F81F2B" w:rsidR="000F2A0D" w:rsidRPr="00E468D8" w:rsidRDefault="00752B94" w:rsidP="00752B94">
      <w:pPr>
        <w:ind w:firstLine="720"/>
      </w:pPr>
      <w:r>
        <w:t xml:space="preserve">Taken together, </w:t>
      </w:r>
      <w:r w:rsidR="00A4515D" w:rsidRPr="00E468D8">
        <w:t xml:space="preserve">the community cultural wealth theory </w:t>
      </w:r>
      <w:r>
        <w:t>recognizes</w:t>
      </w:r>
      <w:r w:rsidRPr="00E468D8">
        <w:t xml:space="preserve"> </w:t>
      </w:r>
      <w:r w:rsidR="00A4515D" w:rsidRPr="00E468D8">
        <w:t xml:space="preserve">the various skills and abilities students bring </w:t>
      </w:r>
      <w:r w:rsidR="00A70470" w:rsidRPr="00E468D8">
        <w:t xml:space="preserve">from their home communities </w:t>
      </w:r>
      <w:r w:rsidR="00636357">
        <w:t xml:space="preserve">into the educational space, </w:t>
      </w:r>
      <w:r>
        <w:t xml:space="preserve">while the </w:t>
      </w:r>
      <w:r w:rsidR="00636357">
        <w:t xml:space="preserve">employability skills </w:t>
      </w:r>
      <w:r w:rsidR="000C3C3F">
        <w:t>provide a framework outlining the skills students need in preparation for</w:t>
      </w:r>
      <w:r w:rsidR="00A70470" w:rsidRPr="00E468D8">
        <w:t xml:space="preserve"> careers in agriculture. </w:t>
      </w:r>
      <w:r w:rsidR="00A76196" w:rsidRPr="00E468D8">
        <w:t xml:space="preserve">In </w:t>
      </w:r>
      <w:r w:rsidR="00A70470" w:rsidRPr="00E468D8">
        <w:t>Figure 1</w:t>
      </w:r>
      <w:r w:rsidR="00A76196" w:rsidRPr="00E468D8">
        <w:t>, we illustrate</w:t>
      </w:r>
      <w:r w:rsidR="00A70470" w:rsidRPr="00E468D8">
        <w:t xml:space="preserve"> how these two </w:t>
      </w:r>
      <w:r w:rsidR="00F21F7E">
        <w:t>frameworks</w:t>
      </w:r>
      <w:r w:rsidR="00A70470" w:rsidRPr="00E468D8">
        <w:t xml:space="preserve"> overlap </w:t>
      </w:r>
      <w:r w:rsidR="00FE2AE5">
        <w:t>to help students build a foundation for developing employability skills and persisting</w:t>
      </w:r>
      <w:r w:rsidR="00BA031A" w:rsidRPr="00E468D8">
        <w:t xml:space="preserve"> in their</w:t>
      </w:r>
      <w:r w:rsidR="0068070D" w:rsidRPr="00E468D8">
        <w:t xml:space="preserve"> academic</w:t>
      </w:r>
      <w:r w:rsidR="00BA031A" w:rsidRPr="00E468D8">
        <w:t xml:space="preserve"> program</w:t>
      </w:r>
      <w:r w:rsidR="0068070D" w:rsidRPr="00E468D8">
        <w:t>s.</w:t>
      </w:r>
      <w:r w:rsidR="00A76196" w:rsidRPr="00E468D8">
        <w:t xml:space="preserve"> </w:t>
      </w:r>
      <w:r w:rsidR="000F2A0D" w:rsidRPr="00E468D8">
        <w:t xml:space="preserve">Because PWIs were built without </w:t>
      </w:r>
      <w:r>
        <w:t>Black students</w:t>
      </w:r>
      <w:r w:rsidRPr="00E468D8">
        <w:t xml:space="preserve"> </w:t>
      </w:r>
      <w:r w:rsidR="000F2A0D" w:rsidRPr="00E468D8">
        <w:t xml:space="preserve">in mind (Stanton, 2022), these capitals </w:t>
      </w:r>
      <w:r w:rsidR="00A76196" w:rsidRPr="00E468D8">
        <w:t>offer</w:t>
      </w:r>
      <w:r w:rsidR="000F2A0D" w:rsidRPr="00E468D8">
        <w:t xml:space="preserve"> internal and external strengths that help the</w:t>
      </w:r>
      <w:r w:rsidR="00A76196" w:rsidRPr="00E468D8">
        <w:t>se institutions</w:t>
      </w:r>
      <w:r w:rsidR="000F2A0D" w:rsidRPr="00E468D8">
        <w:t xml:space="preserve"> establish a foundation for developing </w:t>
      </w:r>
      <w:r w:rsidR="00FE2AE5">
        <w:t xml:space="preserve">workplaces, effective relationships, and applied knowledge and </w:t>
      </w:r>
      <w:r w:rsidR="000F2A0D" w:rsidRPr="00E468D8">
        <w:t xml:space="preserve">skills. </w:t>
      </w:r>
    </w:p>
    <w:p w14:paraId="6AB65900" w14:textId="70814CE2" w:rsidR="004900F6" w:rsidRPr="00E468D8" w:rsidRDefault="004900F6" w:rsidP="0057033E">
      <w:pPr>
        <w:spacing w:before="240" w:after="240"/>
        <w:rPr>
          <w:b/>
          <w:bCs/>
        </w:rPr>
      </w:pPr>
      <w:r w:rsidRPr="00E468D8">
        <w:rPr>
          <w:b/>
          <w:bCs/>
        </w:rPr>
        <w:t>Figure 1</w:t>
      </w:r>
    </w:p>
    <w:p w14:paraId="4CB79EED" w14:textId="2FB2BE1E" w:rsidR="00A70470" w:rsidRPr="00E468D8" w:rsidRDefault="00A70470" w:rsidP="0057033E">
      <w:pPr>
        <w:spacing w:before="240" w:after="240"/>
        <w:rPr>
          <w:i/>
          <w:iCs/>
        </w:rPr>
      </w:pPr>
      <w:r w:rsidRPr="00E468D8">
        <w:t>P</w:t>
      </w:r>
      <w:r w:rsidRPr="00E468D8">
        <w:rPr>
          <w:i/>
          <w:iCs/>
        </w:rPr>
        <w:t>ost-Secondary Employability Skill Development of Black Women</w:t>
      </w:r>
    </w:p>
    <w:p w14:paraId="5A356C43" w14:textId="65EB85AB" w:rsidR="00A510A5" w:rsidRPr="00E468D8" w:rsidRDefault="00A70470" w:rsidP="0057033E">
      <w:pPr>
        <w:ind w:firstLine="20"/>
      </w:pPr>
      <w:r w:rsidRPr="00E468D8">
        <w:rPr>
          <w:noProof/>
        </w:rPr>
        <w:drawing>
          <wp:inline distT="114300" distB="114300" distL="114300" distR="114300" wp14:anchorId="63EDFF11" wp14:editId="13F7DC4A">
            <wp:extent cx="5943600" cy="2857500"/>
            <wp:effectExtent l="0" t="0" r="0" b="0"/>
            <wp:docPr id="798519696" name="image1.png" descr="A diagram of a person's work&#10;&#10;AI-generated content may be incorrect."/>
            <wp:cNvGraphicFramePr/>
            <a:graphic xmlns:a="http://schemas.openxmlformats.org/drawingml/2006/main">
              <a:graphicData uri="http://schemas.openxmlformats.org/drawingml/2006/picture">
                <pic:pic xmlns:pic="http://schemas.openxmlformats.org/drawingml/2006/picture">
                  <pic:nvPicPr>
                    <pic:cNvPr id="798519696" name="image1.png" descr="A diagram of a person's work&#10;&#10;AI-generated content may be incorrect."/>
                    <pic:cNvPicPr preferRelativeResize="0"/>
                  </pic:nvPicPr>
                  <pic:blipFill>
                    <a:blip r:embed="rId8"/>
                    <a:srcRect/>
                    <a:stretch>
                      <a:fillRect/>
                    </a:stretch>
                  </pic:blipFill>
                  <pic:spPr>
                    <a:xfrm>
                      <a:off x="0" y="0"/>
                      <a:ext cx="5943600" cy="2857500"/>
                    </a:xfrm>
                    <a:prstGeom prst="rect">
                      <a:avLst/>
                    </a:prstGeom>
                    <a:ln/>
                  </pic:spPr>
                </pic:pic>
              </a:graphicData>
            </a:graphic>
          </wp:inline>
        </w:drawing>
      </w:r>
    </w:p>
    <w:p w14:paraId="121FFBD2" w14:textId="77777777" w:rsidR="00C853C6" w:rsidRPr="00E468D8" w:rsidRDefault="00C853C6" w:rsidP="0057033E">
      <w:pPr>
        <w:tabs>
          <w:tab w:val="left" w:pos="2370"/>
        </w:tabs>
      </w:pPr>
    </w:p>
    <w:p w14:paraId="3701B6E0" w14:textId="3638F850" w:rsidR="00C853C6" w:rsidRPr="00E468D8" w:rsidRDefault="00752B94" w:rsidP="0057033E">
      <w:pPr>
        <w:ind w:firstLine="720"/>
      </w:pPr>
      <w:r>
        <w:t>These two theoretical lenses shaped our approach to data analysis</w:t>
      </w:r>
      <w:r w:rsidR="002B7A9B">
        <w:t xml:space="preserve">, providing a broader </w:t>
      </w:r>
      <w:r w:rsidR="002804F4">
        <w:t xml:space="preserve">and </w:t>
      </w:r>
      <w:r w:rsidR="002B7A9B">
        <w:t>more nuanced conceptualization of employability skills and revealing</w:t>
      </w:r>
      <w:r>
        <w:t xml:space="preserve"> how </w:t>
      </w:r>
      <w:r w:rsidR="006E717F">
        <w:t>they</w:t>
      </w:r>
      <w:r>
        <w:t xml:space="preserve"> </w:t>
      </w:r>
      <w:r w:rsidR="006E717F">
        <w:t>influence</w:t>
      </w:r>
      <w:r>
        <w:t xml:space="preserve"> Black women students. By placing these frameworks in conversation with each other and our data, they </w:t>
      </w:r>
      <w:proofErr w:type="gramStart"/>
      <w:r w:rsidR="00C853C6" w:rsidRPr="00E468D8">
        <w:t>open up</w:t>
      </w:r>
      <w:proofErr w:type="gramEnd"/>
      <w:r w:rsidR="00C853C6" w:rsidRPr="00E468D8">
        <w:t xml:space="preserve"> a broader conversation </w:t>
      </w:r>
      <w:r w:rsidR="00F233D3">
        <w:t xml:space="preserve">about educational programming, </w:t>
      </w:r>
      <w:r>
        <w:t>intersections of identities</w:t>
      </w:r>
      <w:r w:rsidR="00F233D3">
        <w:t xml:space="preserve">, background experiences and exposure, and </w:t>
      </w:r>
      <w:r w:rsidR="00EF5AE0">
        <w:t xml:space="preserve">perceptions of </w:t>
      </w:r>
      <w:r w:rsidR="00F233D3">
        <w:t xml:space="preserve">students' educational readiness entering the classroom and the </w:t>
      </w:r>
      <w:r w:rsidR="00F22625" w:rsidRPr="00E468D8">
        <w:t>professional field after their academic career</w:t>
      </w:r>
      <w:r w:rsidR="00C853C6" w:rsidRPr="00E468D8">
        <w:t xml:space="preserve">. By examining participants' experiences and their community cultural wealth, this research reveals the key community cultural wealth students </w:t>
      </w:r>
      <w:r w:rsidR="00F233D3">
        <w:t xml:space="preserve">draw on to develop or expand critical career-ready skills necessary for adapting to </w:t>
      </w:r>
      <w:r w:rsidR="00C853C6" w:rsidRPr="00E468D8">
        <w:t>and succeeding in the ever-transforming agricultural workplace.</w:t>
      </w:r>
    </w:p>
    <w:p w14:paraId="7A1F3B9D" w14:textId="77777777" w:rsidR="00B91697" w:rsidRDefault="00B91697" w:rsidP="00082513">
      <w:pPr>
        <w:tabs>
          <w:tab w:val="left" w:pos="2370"/>
        </w:tabs>
        <w:rPr>
          <w:b/>
          <w:bCs/>
        </w:rPr>
      </w:pPr>
    </w:p>
    <w:p w14:paraId="57FC0055" w14:textId="78DABA05" w:rsidR="00A510A5" w:rsidRPr="00E468D8" w:rsidRDefault="00A510A5" w:rsidP="00E02EAA">
      <w:pPr>
        <w:tabs>
          <w:tab w:val="left" w:pos="2370"/>
        </w:tabs>
        <w:jc w:val="center"/>
        <w:rPr>
          <w:b/>
          <w:bCs/>
        </w:rPr>
      </w:pPr>
      <w:r w:rsidRPr="00E468D8">
        <w:rPr>
          <w:b/>
          <w:bCs/>
        </w:rPr>
        <w:t>Methodology</w:t>
      </w:r>
    </w:p>
    <w:p w14:paraId="5B4D3B88" w14:textId="77777777" w:rsidR="00A510A5" w:rsidRPr="00E468D8" w:rsidRDefault="00A510A5" w:rsidP="0057033E">
      <w:pPr>
        <w:tabs>
          <w:tab w:val="left" w:pos="2370"/>
        </w:tabs>
        <w:rPr>
          <w:b/>
          <w:bCs/>
        </w:rPr>
      </w:pPr>
    </w:p>
    <w:p w14:paraId="40BD5B09" w14:textId="2E6D3E93" w:rsidR="002A6AD7" w:rsidRPr="00E468D8" w:rsidRDefault="00A510A5" w:rsidP="0057033E">
      <w:pPr>
        <w:ind w:firstLine="720"/>
        <w:rPr>
          <w:lang w:val="en-US"/>
        </w:rPr>
      </w:pPr>
      <w:r w:rsidRPr="00E468D8">
        <w:t xml:space="preserve">This study employed an exploratory </w:t>
      </w:r>
      <w:r w:rsidR="00586707" w:rsidRPr="00E468D8">
        <w:t>multi-case</w:t>
      </w:r>
      <w:r w:rsidRPr="00E468D8">
        <w:t xml:space="preserve"> study approach to investigate how students</w:t>
      </w:r>
      <w:r w:rsidR="00586707" w:rsidRPr="00E468D8">
        <w:t xml:space="preserve"> use community cultur</w:t>
      </w:r>
      <w:r w:rsidR="000F6287" w:rsidRPr="00E468D8">
        <w:t>al wealth</w:t>
      </w:r>
      <w:r w:rsidR="00586707" w:rsidRPr="00E468D8">
        <w:t xml:space="preserve"> to </w:t>
      </w:r>
      <w:r w:rsidR="000F6287" w:rsidRPr="00E468D8">
        <w:t>establish a foundation for developing employability</w:t>
      </w:r>
      <w:r w:rsidR="00586707" w:rsidRPr="00E468D8">
        <w:t xml:space="preserve"> skills. </w:t>
      </w:r>
      <w:r w:rsidR="000F6287" w:rsidRPr="00E468D8">
        <w:rPr>
          <w:lang w:val="en-US"/>
        </w:rPr>
        <w:t xml:space="preserve">As outlined by Creswell (2013), </w:t>
      </w:r>
      <w:r w:rsidR="000F6287" w:rsidRPr="00E468D8">
        <w:t xml:space="preserve">qualitative research </w:t>
      </w:r>
      <w:r w:rsidR="000F6287" w:rsidRPr="00E468D8">
        <w:rPr>
          <w:lang w:val="en-US"/>
        </w:rPr>
        <w:t xml:space="preserve">amplifies silent voices and generates a complex, detailed understanding of a phenomenon, empowering individuals to share their </w:t>
      </w:r>
      <w:r w:rsidR="000F6287" w:rsidRPr="00E468D8">
        <w:rPr>
          <w:lang w:val="en-US"/>
        </w:rPr>
        <w:lastRenderedPageBreak/>
        <w:t xml:space="preserve">stories and to challenge and limit power relationship dynamics. </w:t>
      </w:r>
      <w:r w:rsidR="000F6287" w:rsidRPr="00E468D8">
        <w:t xml:space="preserve">Creswell </w:t>
      </w:r>
      <w:r w:rsidR="00EF5AE0">
        <w:t>and</w:t>
      </w:r>
      <w:r w:rsidR="00EF5AE0" w:rsidRPr="00E468D8">
        <w:t xml:space="preserve"> </w:t>
      </w:r>
      <w:r w:rsidR="000F6287" w:rsidRPr="00E468D8">
        <w:t>Plano Clarke</w:t>
      </w:r>
      <w:r w:rsidR="00DF6236" w:rsidRPr="00E468D8">
        <w:t xml:space="preserve"> (2018) define</w:t>
      </w:r>
      <w:r w:rsidR="00EF5AE0">
        <w:t>d</w:t>
      </w:r>
      <w:r w:rsidR="00DF6236" w:rsidRPr="00E468D8">
        <w:t xml:space="preserve"> </w:t>
      </w:r>
      <w:r w:rsidR="00EF5AE0">
        <w:t>q</w:t>
      </w:r>
      <w:r w:rsidR="00DF6236" w:rsidRPr="00E468D8">
        <w:t xml:space="preserve">ualitative methodology as a research approach that allows </w:t>
      </w:r>
      <w:r w:rsidR="00CF7552">
        <w:t xml:space="preserve">participants to address questions about why complex phenomena occur and to determine participants' perceptions of </w:t>
      </w:r>
      <w:r w:rsidR="000F6287" w:rsidRPr="00E468D8">
        <w:rPr>
          <w:lang w:val="en-US"/>
        </w:rPr>
        <w:t xml:space="preserve">the phenomena being studied. This method emphasizes </w:t>
      </w:r>
      <w:r w:rsidR="00DF6236" w:rsidRPr="00E468D8">
        <w:rPr>
          <w:lang w:val="en-US"/>
        </w:rPr>
        <w:t xml:space="preserve">participants' authentic voices and illuminates multiple perspectives that are specific to their experiences, rather than relying on generalized findings. The case study approach emphasizes three main principles: 1) the research question addresses why a phenomenon occurred, 2) the researcher requires little or no control over the activities or behavioral events within the research, and 3) the focus of the research explores </w:t>
      </w:r>
      <w:r w:rsidR="00A77AE2" w:rsidRPr="00E468D8">
        <w:rPr>
          <w:lang w:val="en-US"/>
        </w:rPr>
        <w:t>a</w:t>
      </w:r>
      <w:r w:rsidR="00DF6236" w:rsidRPr="00E468D8">
        <w:rPr>
          <w:lang w:val="en-US"/>
        </w:rPr>
        <w:t xml:space="preserve"> contemporary phenomenon in which the context is not clearly defined</w:t>
      </w:r>
      <w:r w:rsidR="002C2CF8" w:rsidRPr="00E468D8">
        <w:rPr>
          <w:lang w:val="en-US"/>
        </w:rPr>
        <w:t xml:space="preserve"> (Creswell, 2013)</w:t>
      </w:r>
      <w:r w:rsidR="00DF6236" w:rsidRPr="00E468D8">
        <w:rPr>
          <w:lang w:val="en-US"/>
        </w:rPr>
        <w:t>.</w:t>
      </w:r>
    </w:p>
    <w:p w14:paraId="127CF8BD" w14:textId="77777777" w:rsidR="002A6AD7" w:rsidRPr="00E468D8" w:rsidRDefault="002A6AD7" w:rsidP="0057033E">
      <w:pPr>
        <w:rPr>
          <w:lang w:val="en-US"/>
        </w:rPr>
      </w:pPr>
    </w:p>
    <w:p w14:paraId="1AFDA9D1" w14:textId="4B80F660" w:rsidR="002A6AD7" w:rsidRPr="00E468D8" w:rsidRDefault="00DF6236" w:rsidP="001118E5">
      <w:pPr>
        <w:ind w:firstLine="720"/>
        <w:rPr>
          <w:lang w:val="en-US"/>
        </w:rPr>
      </w:pPr>
      <w:r w:rsidRPr="00E468D8">
        <w:rPr>
          <w:lang w:val="en-US"/>
        </w:rPr>
        <w:t xml:space="preserve">This research employed a </w:t>
      </w:r>
      <w:r w:rsidR="009167E4" w:rsidRPr="00E468D8">
        <w:rPr>
          <w:lang w:val="en-US"/>
        </w:rPr>
        <w:t xml:space="preserve">multiple-case study approach to </w:t>
      </w:r>
      <w:r w:rsidR="00EE19B5" w:rsidRPr="00E468D8">
        <w:rPr>
          <w:lang w:val="en-US"/>
        </w:rPr>
        <w:t>gain an in-depth, nuanced understanding of students' pre- and in-college experiences and how these experiences contribute to shaping</w:t>
      </w:r>
      <w:r w:rsidRPr="00E468D8">
        <w:rPr>
          <w:lang w:val="en-US"/>
        </w:rPr>
        <w:t xml:space="preserve"> their </w:t>
      </w:r>
      <w:r w:rsidR="00A77AE2" w:rsidRPr="00E468D8">
        <w:rPr>
          <w:lang w:val="en-US"/>
        </w:rPr>
        <w:t>career preparation</w:t>
      </w:r>
      <w:r w:rsidRPr="00E468D8">
        <w:rPr>
          <w:lang w:val="en-US"/>
        </w:rPr>
        <w:t>.</w:t>
      </w:r>
      <w:r w:rsidR="009167E4" w:rsidRPr="00E468D8">
        <w:rPr>
          <w:lang w:val="en-US"/>
        </w:rPr>
        <w:t xml:space="preserve"> The research examines the pre-college experiences and </w:t>
      </w:r>
      <w:r w:rsidR="00C65E45">
        <w:rPr>
          <w:lang w:val="en-US"/>
        </w:rPr>
        <w:t>networks of resources that students bring to the educational space, with a focus on the transition from pre-college to college</w:t>
      </w:r>
      <w:r w:rsidR="009167E4" w:rsidRPr="00E468D8">
        <w:rPr>
          <w:lang w:val="en-US"/>
        </w:rPr>
        <w:t xml:space="preserve">. </w:t>
      </w:r>
      <w:r w:rsidR="00EF5AE0">
        <w:rPr>
          <w:lang w:val="en-US"/>
        </w:rPr>
        <w:t>By focusing</w:t>
      </w:r>
      <w:r w:rsidR="00EF5AE0" w:rsidRPr="00E468D8">
        <w:rPr>
          <w:lang w:val="en-US"/>
        </w:rPr>
        <w:t xml:space="preserve"> </w:t>
      </w:r>
      <w:r w:rsidR="009167E4" w:rsidRPr="00E468D8">
        <w:rPr>
          <w:lang w:val="en-US"/>
        </w:rPr>
        <w:t xml:space="preserve">on their college experiences, the research examined how students build </w:t>
      </w:r>
      <w:r w:rsidR="00A417C3" w:rsidRPr="00E468D8">
        <w:rPr>
          <w:lang w:val="en-US"/>
        </w:rPr>
        <w:t>on this foundation to develop a wealth of knowledge within their agricultural program and acquire</w:t>
      </w:r>
      <w:r w:rsidR="009167E4" w:rsidRPr="00E468D8">
        <w:rPr>
          <w:lang w:val="en-US"/>
        </w:rPr>
        <w:t xml:space="preserve"> employability skills. Through this multi-case study approach, </w:t>
      </w:r>
      <w:r w:rsidR="00EF5AE0">
        <w:rPr>
          <w:lang w:val="en-US"/>
        </w:rPr>
        <w:t>we sought</w:t>
      </w:r>
      <w:r w:rsidR="009167E4" w:rsidRPr="00E468D8">
        <w:rPr>
          <w:lang w:val="en-US"/>
        </w:rPr>
        <w:t xml:space="preserve"> to understand the key community cultural wealth that students bring and how they u</w:t>
      </w:r>
      <w:r w:rsidR="00C65E45">
        <w:rPr>
          <w:lang w:val="en-US"/>
        </w:rPr>
        <w:t>se</w:t>
      </w:r>
      <w:r w:rsidR="009167E4" w:rsidRPr="00E468D8">
        <w:rPr>
          <w:lang w:val="en-US"/>
        </w:rPr>
        <w:t xml:space="preserve"> it to develop employability skills. Examining students' own experiences within the PWI's unique context, the research captures the </w:t>
      </w:r>
      <w:r w:rsidR="00C1792C">
        <w:rPr>
          <w:lang w:val="en-US"/>
        </w:rPr>
        <w:t>depth of their experiences and the cultural knowledge and skills they bring to a PWI environment</w:t>
      </w:r>
      <w:r w:rsidR="009167E4" w:rsidRPr="00E468D8">
        <w:rPr>
          <w:lang w:val="en-US"/>
        </w:rPr>
        <w:t>.</w:t>
      </w:r>
      <w:r w:rsidR="008F03CF" w:rsidRPr="00E468D8">
        <w:rPr>
          <w:lang w:val="en-US"/>
        </w:rPr>
        <w:t xml:space="preserve"> Each participating student represents a case within this multi-case study design. </w:t>
      </w:r>
      <w:r w:rsidR="005C636D" w:rsidRPr="005C636D">
        <w:t>Because this study sought to gain an in-depth understanding of a complex social phenomenon, an exploratory qualitative case study design was appropriate (Yin, 2014).</w:t>
      </w:r>
      <w:r w:rsidR="00831632">
        <w:t xml:space="preserve"> </w:t>
      </w:r>
      <w:r w:rsidR="00831632" w:rsidRPr="00831632">
        <w:t xml:space="preserve">A multi-case approach was employed to capture variation across participants while allowing for cross-case analysis to identify shared patterns and themes. In case study research, cases are typically bounded by person, time, and context (Yin, 2014); in this </w:t>
      </w:r>
      <w:r w:rsidR="00F22EE4">
        <w:t>research</w:t>
      </w:r>
      <w:r w:rsidR="00831632" w:rsidRPr="00831632">
        <w:t xml:space="preserve">, each case was bounded by individual Black women enrolled in an undergraduate agricultural program at a PWI during a defined academic period. Using multiple cases strengthened the </w:t>
      </w:r>
      <w:r w:rsidR="00F22EE4">
        <w:t>research</w:t>
      </w:r>
      <w:r w:rsidR="001C092D">
        <w:t xml:space="preserve"> analytic rigor by enabling comparisons across experiences while preserving the depth needed</w:t>
      </w:r>
      <w:r w:rsidR="00831632" w:rsidRPr="00831632">
        <w:t xml:space="preserve"> to understand the complexities of employability </w:t>
      </w:r>
      <w:r w:rsidR="00F252B1">
        <w:t xml:space="preserve">skill </w:t>
      </w:r>
      <w:r w:rsidR="00831632" w:rsidRPr="00831632">
        <w:t>development.</w:t>
      </w:r>
    </w:p>
    <w:p w14:paraId="09623ACD" w14:textId="77777777" w:rsidR="001118E5" w:rsidRDefault="001118E5" w:rsidP="00E02EAA">
      <w:pPr>
        <w:jc w:val="center"/>
        <w:rPr>
          <w:b/>
          <w:bCs/>
        </w:rPr>
      </w:pPr>
    </w:p>
    <w:p w14:paraId="027AD13A" w14:textId="716E7B73" w:rsidR="002A6AD7" w:rsidRPr="006E717F" w:rsidRDefault="00EF5AE0" w:rsidP="009F2BAA">
      <w:r w:rsidRPr="006E717F">
        <w:t xml:space="preserve">Data </w:t>
      </w:r>
      <w:r w:rsidR="008B15CC" w:rsidRPr="006E717F">
        <w:t>C</w:t>
      </w:r>
      <w:r w:rsidR="005C090D" w:rsidRPr="006E717F">
        <w:t>ollection</w:t>
      </w:r>
    </w:p>
    <w:p w14:paraId="2E65C36C" w14:textId="77777777" w:rsidR="002A6AD7" w:rsidRPr="00E468D8" w:rsidRDefault="002A6AD7" w:rsidP="0057033E">
      <w:pPr>
        <w:rPr>
          <w:b/>
          <w:bCs/>
        </w:rPr>
      </w:pPr>
    </w:p>
    <w:p w14:paraId="76CA22DD" w14:textId="35831B72" w:rsidR="002A6AD7" w:rsidRPr="006A2141" w:rsidRDefault="003F4B2F" w:rsidP="00E26891">
      <w:pPr>
        <w:ind w:firstLine="720"/>
        <w:rPr>
          <w:lang w:val="en-US"/>
        </w:rPr>
      </w:pPr>
      <w:r w:rsidRPr="00E468D8">
        <w:rPr>
          <w:lang w:val="en-US"/>
        </w:rPr>
        <w:t>A purposive sampling technique was used to explore specific characteristics of the selected population (Merriam, 2009;</w:t>
      </w:r>
      <w:r w:rsidRPr="00E468D8">
        <w:t xml:space="preserve"> Patton, 2015). </w:t>
      </w:r>
      <w:r w:rsidRPr="00E468D8">
        <w:rPr>
          <w:lang w:val="en-US"/>
        </w:rPr>
        <w:t xml:space="preserve">In a qualitative case study approach, the researcher typically </w:t>
      </w:r>
      <w:r w:rsidRPr="00E468D8">
        <w:t>works with a smaller population</w:t>
      </w:r>
      <w:r w:rsidR="00540EAB" w:rsidRPr="00E468D8">
        <w:t xml:space="preserve"> </w:t>
      </w:r>
      <w:r w:rsidR="00420893">
        <w:t>(ranging from as few as five to twenty-five participants) to achieve</w:t>
      </w:r>
      <w:r w:rsidR="00540EAB" w:rsidRPr="00E468D8">
        <w:t xml:space="preserve"> a more in-depth, rich understanding rather than for generalizations </w:t>
      </w:r>
      <w:r w:rsidR="00540EAB" w:rsidRPr="0039622B">
        <w:t xml:space="preserve">(Patton, 1990) </w:t>
      </w:r>
      <w:r w:rsidR="00540EAB" w:rsidRPr="00E468D8">
        <w:t>or statistical significance (</w:t>
      </w:r>
      <w:r w:rsidR="00540EAB" w:rsidRPr="0039622B">
        <w:t>Miles et al., 2014)</w:t>
      </w:r>
      <w:r w:rsidRPr="0039622B">
        <w:rPr>
          <w:lang w:val="en-US"/>
        </w:rPr>
        <w:t xml:space="preserve">. </w:t>
      </w:r>
      <w:r w:rsidR="00540EAB" w:rsidRPr="00E468D8">
        <w:rPr>
          <w:lang w:val="en-US"/>
        </w:rPr>
        <w:t xml:space="preserve">There were </w:t>
      </w:r>
      <w:r w:rsidR="00A77AE2" w:rsidRPr="00E468D8">
        <w:rPr>
          <w:lang w:val="en-US"/>
        </w:rPr>
        <w:t>nine</w:t>
      </w:r>
      <w:r w:rsidR="00540EAB" w:rsidRPr="00E468D8">
        <w:rPr>
          <w:lang w:val="en-US"/>
        </w:rPr>
        <w:t xml:space="preserve"> </w:t>
      </w:r>
      <w:r w:rsidR="008A6CB1" w:rsidRPr="00E468D8">
        <w:rPr>
          <w:lang w:val="en-US"/>
        </w:rPr>
        <w:t xml:space="preserve">Black </w:t>
      </w:r>
      <w:r w:rsidR="00540EAB" w:rsidRPr="00E468D8">
        <w:rPr>
          <w:lang w:val="en-US"/>
        </w:rPr>
        <w:t xml:space="preserve">women </w:t>
      </w:r>
      <w:r w:rsidR="008A6CB1" w:rsidRPr="00E468D8">
        <w:rPr>
          <w:lang w:val="en-US"/>
        </w:rPr>
        <w:t xml:space="preserve">students </w:t>
      </w:r>
      <w:r w:rsidR="00540EAB" w:rsidRPr="00E468D8">
        <w:rPr>
          <w:lang w:val="en-US"/>
        </w:rPr>
        <w:t>in this research</w:t>
      </w:r>
      <w:r w:rsidR="004E563C" w:rsidRPr="00E468D8">
        <w:rPr>
          <w:lang w:val="en-US"/>
        </w:rPr>
        <w:t xml:space="preserve"> from a </w:t>
      </w:r>
      <w:r w:rsidR="004E563C" w:rsidRPr="00E468D8">
        <w:t xml:space="preserve">PWI in </w:t>
      </w:r>
      <w:r w:rsidR="00420893">
        <w:t xml:space="preserve">the southeastern </w:t>
      </w:r>
      <w:r w:rsidR="004E563C" w:rsidRPr="00E468D8">
        <w:t>United States</w:t>
      </w:r>
      <w:r w:rsidR="00540EAB" w:rsidRPr="00E468D8">
        <w:rPr>
          <w:lang w:val="en-US"/>
        </w:rPr>
        <w:t>: f</w:t>
      </w:r>
      <w:r w:rsidR="00A77AE2" w:rsidRPr="00E468D8">
        <w:rPr>
          <w:lang w:val="en-US"/>
        </w:rPr>
        <w:t>our</w:t>
      </w:r>
      <w:r w:rsidR="00540EAB" w:rsidRPr="00E468D8">
        <w:rPr>
          <w:lang w:val="en-US"/>
        </w:rPr>
        <w:t xml:space="preserve"> seniors, three sophomores and two first-year students. Eight of these students majored in Animal and Veterinary Science, and one in Wildlife and Fisheries Biology. </w:t>
      </w:r>
      <w:r w:rsidR="00EF5AE0">
        <w:rPr>
          <w:lang w:val="en-US"/>
        </w:rPr>
        <w:t>All names and institutions are p</w:t>
      </w:r>
      <w:r w:rsidR="00806271" w:rsidRPr="00E468D8">
        <w:rPr>
          <w:lang w:val="en-US"/>
        </w:rPr>
        <w:t xml:space="preserve">seudonyms. </w:t>
      </w:r>
      <w:r w:rsidR="00EF5AE0">
        <w:rPr>
          <w:lang w:val="en-US"/>
        </w:rPr>
        <w:t xml:space="preserve">Data collection included </w:t>
      </w:r>
      <w:r w:rsidR="00EE19B5" w:rsidRPr="00E468D8">
        <w:rPr>
          <w:lang w:val="en-US"/>
        </w:rPr>
        <w:t>a photo elicitation project, a card elicitation activity, and three semi-structured interviews</w:t>
      </w:r>
      <w:r w:rsidR="00173379" w:rsidRPr="00E468D8">
        <w:rPr>
          <w:lang w:val="en-US"/>
        </w:rPr>
        <w:t xml:space="preserve">. These </w:t>
      </w:r>
      <w:r w:rsidR="00C1792C">
        <w:rPr>
          <w:lang w:val="en-US"/>
        </w:rPr>
        <w:t xml:space="preserve">data sources were used to gain a deeper understanding of participants' experiences and to triangulate the data, thereby increasing </w:t>
      </w:r>
      <w:r w:rsidR="008A6CB1" w:rsidRPr="00E468D8">
        <w:rPr>
          <w:lang w:val="en-US"/>
        </w:rPr>
        <w:t xml:space="preserve">rigor, </w:t>
      </w:r>
      <w:r w:rsidR="00173379" w:rsidRPr="00E468D8">
        <w:rPr>
          <w:lang w:val="en-US"/>
        </w:rPr>
        <w:t>trustworthiness</w:t>
      </w:r>
      <w:r w:rsidR="008A6CB1" w:rsidRPr="00E468D8">
        <w:rPr>
          <w:lang w:val="en-US"/>
        </w:rPr>
        <w:t>,</w:t>
      </w:r>
      <w:r w:rsidR="00173379" w:rsidRPr="00E468D8">
        <w:rPr>
          <w:lang w:val="en-US"/>
        </w:rPr>
        <w:t xml:space="preserve"> and reliability </w:t>
      </w:r>
      <w:r w:rsidR="00173379" w:rsidRPr="00E468D8">
        <w:t>(Creswell &amp; Poth, 2018).</w:t>
      </w:r>
      <w:r w:rsidR="008B2CCD" w:rsidRPr="00E468D8">
        <w:t xml:space="preserve"> </w:t>
      </w:r>
      <w:r w:rsidR="00801CE0">
        <w:t>We used Seedman's (2019) three-part semi-structured interviews.</w:t>
      </w:r>
      <w:r w:rsidR="008B2CCD" w:rsidRPr="00E468D8">
        <w:t xml:space="preserve"> The first interview elicited participants' pre-college life </w:t>
      </w:r>
      <w:r w:rsidR="00801CE0">
        <w:t xml:space="preserve">histories in agriculture; the </w:t>
      </w:r>
      <w:r w:rsidR="00801CE0">
        <w:lastRenderedPageBreak/>
        <w:t xml:space="preserve">second focused on their lived experiences and unique abilities; and the third </w:t>
      </w:r>
      <w:r w:rsidR="008B2CCD" w:rsidRPr="00E468D8">
        <w:t xml:space="preserve">allowed them to reimagine and reflect on their experiences. All interviews were conducted in person and lasted </w:t>
      </w:r>
      <w:r w:rsidR="008423F5">
        <w:t>20-</w:t>
      </w:r>
      <w:r w:rsidR="008B2CCD" w:rsidRPr="00E468D8">
        <w:t xml:space="preserve">60 minutes. </w:t>
      </w:r>
      <w:r w:rsidR="00930F50" w:rsidRPr="00930F50">
        <w:rPr>
          <w:lang w:val="en-US"/>
        </w:rPr>
        <w:t>They were audio</w:t>
      </w:r>
      <w:r w:rsidR="00930F50" w:rsidRPr="00930F50">
        <w:rPr>
          <w:lang w:val="en-US"/>
        </w:rPr>
        <w:noBreakHyphen/>
        <w:t>recorded, transcribed verbatim, and then member</w:t>
      </w:r>
      <w:r w:rsidR="00930F50" w:rsidRPr="00930F50">
        <w:rPr>
          <w:lang w:val="en-US"/>
        </w:rPr>
        <w:noBreakHyphen/>
        <w:t xml:space="preserve">checked to increase the accuracy, dependability, and validity of the findings </w:t>
      </w:r>
      <w:r w:rsidR="00930F50" w:rsidRPr="00D61345">
        <w:rPr>
          <w:lang w:val="en-US"/>
        </w:rPr>
        <w:t>(Creswell, 2014</w:t>
      </w:r>
      <w:r w:rsidR="00930F50" w:rsidRPr="00930F50">
        <w:rPr>
          <w:lang w:val="en-US"/>
        </w:rPr>
        <w:t xml:space="preserve">; </w:t>
      </w:r>
      <w:r w:rsidR="00930F50" w:rsidRPr="006A2141">
        <w:rPr>
          <w:lang w:val="en-US"/>
        </w:rPr>
        <w:t>Lincoln &amp; Guba, 1985).</w:t>
      </w:r>
    </w:p>
    <w:p w14:paraId="2D68D018" w14:textId="77777777" w:rsidR="002A6AD7" w:rsidRPr="00E468D8" w:rsidRDefault="002A6AD7" w:rsidP="0057033E"/>
    <w:p w14:paraId="04A72FF3" w14:textId="66E88FB0" w:rsidR="00ED50ED" w:rsidRPr="00E468D8" w:rsidRDefault="00ED50ED" w:rsidP="0057033E">
      <w:pPr>
        <w:ind w:firstLine="720"/>
      </w:pPr>
      <w:r w:rsidRPr="00E468D8">
        <w:t>T</w:t>
      </w:r>
      <w:r w:rsidR="00A77AE2" w:rsidRPr="00E468D8">
        <w:t xml:space="preserve">he photo-elicitation interview process was used in this </w:t>
      </w:r>
      <w:r w:rsidR="008423F5">
        <w:t>research</w:t>
      </w:r>
      <w:r w:rsidR="00A77AE2" w:rsidRPr="00E468D8">
        <w:t xml:space="preserve"> not only </w:t>
      </w:r>
      <w:r w:rsidR="008423F5">
        <w:t>to elicit</w:t>
      </w:r>
      <w:r w:rsidR="00A77AE2" w:rsidRPr="00E468D8">
        <w:t xml:space="preserve"> additional information but also to evoke a different kind of information (Harper, 2002). In this </w:t>
      </w:r>
      <w:r w:rsidR="008423F5">
        <w:t>research</w:t>
      </w:r>
      <w:r w:rsidR="00A77AE2" w:rsidRPr="00E468D8">
        <w:t xml:space="preserve">, participants used photos as a reflective tool to deconstruct and ultimately reconstruct </w:t>
      </w:r>
      <w:r w:rsidR="00AA6483" w:rsidRPr="00E468D8">
        <w:t xml:space="preserve">their stories in a different framing. The photo-elicitation project required participants to select and submit two to three photographs: one representing their pre-college experience in agriculture, one representing their college experiences, and one representing their family. For each </w:t>
      </w:r>
      <w:r w:rsidR="008423F5">
        <w:t>photo, participants were asked to tell a short story about the meaning the photo holds and how it</w:t>
      </w:r>
      <w:r w:rsidR="00AA6483" w:rsidRPr="00E468D8">
        <w:t xml:space="preserve"> helps influence the development of their career skills. During the </w:t>
      </w:r>
      <w:r w:rsidR="000E4398">
        <w:t xml:space="preserve">first </w:t>
      </w:r>
      <w:r w:rsidR="00AA6483" w:rsidRPr="00E468D8">
        <w:t xml:space="preserve">interview, the researcher showed each participant their submitted photo narratives and discussed them. These photos were used as a secondary </w:t>
      </w:r>
      <w:r w:rsidR="000E4398">
        <w:t xml:space="preserve">data-collection tool to </w:t>
      </w:r>
      <w:r w:rsidR="00AA6483" w:rsidRPr="00E468D8">
        <w:t xml:space="preserve">supplement </w:t>
      </w:r>
      <w:r w:rsidR="00D70C9D">
        <w:t>participants' stories, providing context and evidence</w:t>
      </w:r>
      <w:r w:rsidR="00AA6483" w:rsidRPr="00E468D8">
        <w:t xml:space="preserve">. </w:t>
      </w:r>
    </w:p>
    <w:p w14:paraId="2C81CAFE" w14:textId="77777777" w:rsidR="00ED50ED" w:rsidRPr="00E468D8" w:rsidRDefault="00ED50ED" w:rsidP="0057033E">
      <w:pPr>
        <w:ind w:firstLine="720"/>
      </w:pPr>
    </w:p>
    <w:p w14:paraId="7CC75F28" w14:textId="4ABCAF1A" w:rsidR="002A6AD7" w:rsidRPr="00E468D8" w:rsidRDefault="00AA6483" w:rsidP="0057033E">
      <w:pPr>
        <w:ind w:firstLine="720"/>
      </w:pPr>
      <w:r w:rsidRPr="00E468D8">
        <w:t xml:space="preserve">Card elicitation, a </w:t>
      </w:r>
      <w:r w:rsidR="000E4398">
        <w:t>data-collection tool in</w:t>
      </w:r>
      <w:r w:rsidRPr="00E468D8">
        <w:t xml:space="preserve"> the field of astrology, elicits participants' responses to ideas shared by other participants in the study (Trotter &amp; Potter, 1993). This </w:t>
      </w:r>
      <w:r w:rsidR="00280A17">
        <w:t xml:space="preserve">data collection </w:t>
      </w:r>
      <w:r w:rsidRPr="00E468D8">
        <w:t xml:space="preserve">method was used in this </w:t>
      </w:r>
      <w:r w:rsidR="00280A17">
        <w:t>research</w:t>
      </w:r>
      <w:r w:rsidRPr="00E468D8">
        <w:t xml:space="preserve"> because the forms of capital in community cultural wealth were not acknowledged and valued in mainstream or dominant cultures (Yosso, 2005), and students of color often underappreciate or overlook them as well (Stanton et al., 2021). </w:t>
      </w:r>
      <w:r w:rsidR="00A16CDB">
        <w:t xml:space="preserve">The card elicitation activity was conducted during the second interview to encourage students to think more deeply about their community cultural wealth. </w:t>
      </w:r>
      <w:r w:rsidRPr="00E468D8">
        <w:t xml:space="preserve">During the card elicitation activity, </w:t>
      </w:r>
      <w:r w:rsidR="00A125FE" w:rsidRPr="00E468D8">
        <w:t>participants were given six decks of cards, each representing a form of capital within</w:t>
      </w:r>
      <w:r w:rsidRPr="00E468D8">
        <w:t xml:space="preserve"> the </w:t>
      </w:r>
      <w:r w:rsidR="00E10D4E" w:rsidRPr="00E468D8">
        <w:t>Community Cultural Wealth</w:t>
      </w:r>
      <w:r w:rsidRPr="00E468D8">
        <w:t xml:space="preserve"> framework. Each deck of cards contained five ideas generated from an interview and one dataset for all the participants combined. Participants discussed each deck of cards presented to them, explaining how they drew it for success in their program.</w:t>
      </w:r>
      <w:r w:rsidR="00280A17">
        <w:t xml:space="preserve"> </w:t>
      </w:r>
    </w:p>
    <w:p w14:paraId="4A31207E" w14:textId="77777777" w:rsidR="002A6AD7" w:rsidRPr="00E468D8" w:rsidRDefault="002A6AD7" w:rsidP="0057033E"/>
    <w:p w14:paraId="40305BF3" w14:textId="7C002326" w:rsidR="002A6AD7" w:rsidRPr="006E717F" w:rsidRDefault="005C090D" w:rsidP="009F2BAA">
      <w:r w:rsidRPr="006E717F">
        <w:t xml:space="preserve">Data </w:t>
      </w:r>
      <w:r w:rsidR="008B15CC" w:rsidRPr="006E717F">
        <w:t>A</w:t>
      </w:r>
      <w:r w:rsidRPr="006E717F">
        <w:t>nalysi</w:t>
      </w:r>
      <w:r w:rsidR="00461142" w:rsidRPr="006E717F">
        <w:t>s</w:t>
      </w:r>
    </w:p>
    <w:p w14:paraId="485E0CC8" w14:textId="77777777" w:rsidR="002A6AD7" w:rsidRPr="00E468D8" w:rsidRDefault="002A6AD7" w:rsidP="0057033E">
      <w:pPr>
        <w:rPr>
          <w:b/>
          <w:bCs/>
        </w:rPr>
      </w:pPr>
    </w:p>
    <w:p w14:paraId="49EDFD4C" w14:textId="3892C405" w:rsidR="00A661BC" w:rsidRPr="00E468D8" w:rsidRDefault="00A125FE" w:rsidP="0057033E">
      <w:pPr>
        <w:ind w:firstLine="720"/>
        <w:rPr>
          <w:lang w:val="en-US"/>
        </w:rPr>
      </w:pPr>
      <w:r w:rsidRPr="00E468D8">
        <w:rPr>
          <w:lang w:val="en-US"/>
        </w:rPr>
        <w:t xml:space="preserve">Narratives from both card and photo elicitation activities were integrated with the interview transcripts. Meanwhile, photo narratives were kept alongside their corresponding images to maintain context during analysis. Data analysis involved an ongoing process of thematic analysis combined with qualitative deductive and inductive coding (Glesne, 2016; Saldaña, 2016), applying Braun and Clarke’s (2006) approach to examine discourse from the three interviews (Saldaña, 2021). </w:t>
      </w:r>
      <w:r w:rsidRPr="00E468D8">
        <w:rPr>
          <w:iCs/>
          <w:color w:val="000000"/>
        </w:rPr>
        <w:t xml:space="preserve">Otter.ai was used to transcribe the data. Throughout the data collection phase, </w:t>
      </w:r>
      <w:r w:rsidR="007F506A" w:rsidRPr="00E468D8">
        <w:rPr>
          <w:iCs/>
          <w:color w:val="000000"/>
        </w:rPr>
        <w:t>the lead author</w:t>
      </w:r>
      <w:r w:rsidRPr="00E468D8">
        <w:rPr>
          <w:iCs/>
          <w:color w:val="000000"/>
        </w:rPr>
        <w:t xml:space="preserve"> simultaneously reviewed each interview video and audio recording, transcribed and analyzed the participants' data to identify areas for further probing. The data was pre-coded line by line by circling, underlining and color-coding sentences, phrases, and quotes, which struck me (Saldaña, 2016). Codes were created inductively and deductively using Saldaña's (201</w:t>
      </w:r>
      <w:r w:rsidR="007D30C3" w:rsidRPr="00E468D8">
        <w:rPr>
          <w:iCs/>
          <w:color w:val="000000"/>
        </w:rPr>
        <w:t>6</w:t>
      </w:r>
      <w:r w:rsidRPr="00E468D8">
        <w:rPr>
          <w:iCs/>
          <w:color w:val="000000"/>
        </w:rPr>
        <w:t xml:space="preserve">) two coding cycles to systematically organize and categorize data into themes. To ensure </w:t>
      </w:r>
      <w:r w:rsidR="0030367D" w:rsidRPr="00E468D8">
        <w:rPr>
          <w:iCs/>
          <w:color w:val="000000"/>
        </w:rPr>
        <w:t>code consistency and stability, the lead author enlisted</w:t>
      </w:r>
      <w:r w:rsidRPr="00E468D8">
        <w:rPr>
          <w:iCs/>
          <w:color w:val="000000"/>
        </w:rPr>
        <w:t xml:space="preserve"> a second coder. Using the initial Codebook as a guide, the second coder and </w:t>
      </w:r>
      <w:r w:rsidR="007F506A" w:rsidRPr="00E468D8">
        <w:rPr>
          <w:iCs/>
          <w:color w:val="000000"/>
        </w:rPr>
        <w:t>the lead author</w:t>
      </w:r>
      <w:r w:rsidRPr="00E468D8">
        <w:rPr>
          <w:iCs/>
          <w:color w:val="000000"/>
        </w:rPr>
        <w:t xml:space="preserve"> collaboratively coded 29 lines or turns of talk, </w:t>
      </w:r>
      <w:r w:rsidR="003D3CB9" w:rsidRPr="00E468D8">
        <w:rPr>
          <w:iCs/>
          <w:color w:val="000000"/>
        </w:rPr>
        <w:t>randomly selected</w:t>
      </w:r>
      <w:r w:rsidRPr="00E468D8">
        <w:rPr>
          <w:iCs/>
          <w:color w:val="000000"/>
        </w:rPr>
        <w:t xml:space="preserve"> from the three interviews. We noted when we agreed and </w:t>
      </w:r>
      <w:proofErr w:type="gramStart"/>
      <w:r w:rsidR="00D65889" w:rsidRPr="00E468D8">
        <w:rPr>
          <w:iCs/>
          <w:color w:val="000000"/>
        </w:rPr>
        <w:lastRenderedPageBreak/>
        <w:t>disagreed</w:t>
      </w:r>
      <w:r w:rsidR="00D65889">
        <w:rPr>
          <w:iCs/>
          <w:color w:val="000000"/>
        </w:rPr>
        <w:t>, and</w:t>
      </w:r>
      <w:proofErr w:type="gramEnd"/>
      <w:r w:rsidRPr="00E468D8">
        <w:rPr>
          <w:iCs/>
          <w:color w:val="000000"/>
        </w:rPr>
        <w:t xml:space="preserve"> compared our interpretation</w:t>
      </w:r>
      <w:r w:rsidR="007A0525">
        <w:rPr>
          <w:iCs/>
          <w:color w:val="000000"/>
        </w:rPr>
        <w:t>s</w:t>
      </w:r>
      <w:r w:rsidRPr="00E468D8">
        <w:rPr>
          <w:iCs/>
          <w:color w:val="000000"/>
        </w:rPr>
        <w:t xml:space="preserve"> of each code’s definition. Cohen’s Kappa </w:t>
      </w:r>
      <w:r w:rsidR="007F506A" w:rsidRPr="00E468D8">
        <w:rPr>
          <w:iCs/>
          <w:color w:val="000000"/>
        </w:rPr>
        <w:t xml:space="preserve">was calculated </w:t>
      </w:r>
      <w:r w:rsidRPr="00E468D8">
        <w:rPr>
          <w:iCs/>
          <w:color w:val="000000"/>
        </w:rPr>
        <w:t xml:space="preserve">between </w:t>
      </w:r>
      <w:r w:rsidR="007F506A" w:rsidRPr="00E468D8">
        <w:rPr>
          <w:iCs/>
          <w:color w:val="000000"/>
        </w:rPr>
        <w:t>the lead author’s</w:t>
      </w:r>
      <w:r w:rsidRPr="00E468D8">
        <w:rPr>
          <w:iCs/>
          <w:color w:val="000000"/>
        </w:rPr>
        <w:t xml:space="preserve"> coding data and the coding data from the second coder during this round of collaborative coding (McHugh, 2012). Using the final Codebook, we then independently coded 28 turns of talk, which were randomly chosen from the three interviews and calculated a Cohen’s Kappa coefficient to determine the inter-rater reliability</w:t>
      </w:r>
      <w:r w:rsidR="00BF7C72" w:rsidRPr="00E468D8">
        <w:rPr>
          <w:iCs/>
          <w:color w:val="000000"/>
        </w:rPr>
        <w:t xml:space="preserve"> </w:t>
      </w:r>
      <w:r w:rsidR="00EB571C" w:rsidRPr="00E468D8">
        <w:rPr>
          <w:iCs/>
          <w:color w:val="000000"/>
        </w:rPr>
        <w:t xml:space="preserve">(culturally </w:t>
      </w:r>
      <w:r w:rsidR="003D3CB9" w:rsidRPr="00E468D8">
        <w:rPr>
          <w:iCs/>
          <w:color w:val="000000"/>
        </w:rPr>
        <w:t>sustaining</w:t>
      </w:r>
      <w:r w:rsidR="00EB571C" w:rsidRPr="00E468D8">
        <w:rPr>
          <w:iCs/>
          <w:color w:val="000000"/>
        </w:rPr>
        <w:t xml:space="preserve"> </w:t>
      </w:r>
      <w:r w:rsidR="003D3CB9" w:rsidRPr="00E468D8">
        <w:rPr>
          <w:iCs/>
          <w:color w:val="000000"/>
        </w:rPr>
        <w:t>strength</w:t>
      </w:r>
      <w:r w:rsidR="00EB571C" w:rsidRPr="00E468D8">
        <w:rPr>
          <w:iCs/>
          <w:color w:val="000000"/>
        </w:rPr>
        <w:t xml:space="preserve"> </w:t>
      </w:r>
      <w:r w:rsidR="00452673" w:rsidRPr="00E468D8">
        <w:rPr>
          <w:iCs/>
          <w:color w:val="000000"/>
        </w:rPr>
        <w:t>1.0, navigational</w:t>
      </w:r>
      <w:r w:rsidR="00E8104B" w:rsidRPr="00E468D8">
        <w:rPr>
          <w:iCs/>
          <w:color w:val="000000"/>
        </w:rPr>
        <w:t>, aspirational and</w:t>
      </w:r>
      <w:r w:rsidR="003D3CB9" w:rsidRPr="00E468D8">
        <w:rPr>
          <w:iCs/>
          <w:color w:val="000000"/>
        </w:rPr>
        <w:t xml:space="preserve"> Familial</w:t>
      </w:r>
      <w:r w:rsidR="00E8104B" w:rsidRPr="00E468D8">
        <w:rPr>
          <w:iCs/>
          <w:color w:val="000000"/>
        </w:rPr>
        <w:t xml:space="preserve"> </w:t>
      </w:r>
      <w:r w:rsidR="003D3CB9" w:rsidRPr="00E468D8">
        <w:rPr>
          <w:iCs/>
          <w:color w:val="000000"/>
        </w:rPr>
        <w:t>capital (1.0, 1.0, 0.85) respectively.</w:t>
      </w:r>
    </w:p>
    <w:p w14:paraId="3E6C2A23" w14:textId="77777777" w:rsidR="00A125FE" w:rsidRPr="00E468D8" w:rsidRDefault="00A125FE" w:rsidP="0057033E">
      <w:pPr>
        <w:tabs>
          <w:tab w:val="left" w:pos="2370"/>
        </w:tabs>
        <w:rPr>
          <w:b/>
          <w:bCs/>
        </w:rPr>
      </w:pPr>
    </w:p>
    <w:p w14:paraId="136DB8C2" w14:textId="52D88C01" w:rsidR="00410673" w:rsidRPr="00E468D8" w:rsidRDefault="0018338B" w:rsidP="00E02EAA">
      <w:pPr>
        <w:tabs>
          <w:tab w:val="left" w:pos="2370"/>
        </w:tabs>
        <w:jc w:val="center"/>
        <w:rPr>
          <w:b/>
          <w:bCs/>
        </w:rPr>
      </w:pPr>
      <w:r>
        <w:rPr>
          <w:b/>
          <w:bCs/>
        </w:rPr>
        <w:t>Findings</w:t>
      </w:r>
    </w:p>
    <w:p w14:paraId="04ABD3D2" w14:textId="0CDA2264" w:rsidR="0036662F" w:rsidRPr="00E468D8" w:rsidRDefault="0036662F" w:rsidP="0057033E"/>
    <w:p w14:paraId="29585478" w14:textId="11E2CC46" w:rsidR="00D26E69" w:rsidRDefault="0018338B" w:rsidP="00564743">
      <w:pPr>
        <w:ind w:firstLine="720"/>
      </w:pPr>
      <w:r>
        <w:t>T</w:t>
      </w:r>
      <w:r w:rsidR="0036662F" w:rsidRPr="00E468D8">
        <w:t>h</w:t>
      </w:r>
      <w:r w:rsidR="00C045BD" w:rsidRPr="00E468D8">
        <w:t xml:space="preserve">is </w:t>
      </w:r>
      <w:r>
        <w:t xml:space="preserve">manuscript </w:t>
      </w:r>
      <w:r w:rsidR="007A0525">
        <w:t>is</w:t>
      </w:r>
      <w:r>
        <w:t xml:space="preserve"> </w:t>
      </w:r>
      <w:r w:rsidR="00A3666E">
        <w:t xml:space="preserve">part of </w:t>
      </w:r>
      <w:r w:rsidR="00093C3F">
        <w:t xml:space="preserve">a larger </w:t>
      </w:r>
      <w:r w:rsidR="005625A3">
        <w:t xml:space="preserve">dissertation </w:t>
      </w:r>
      <w:r w:rsidR="00900DF9">
        <w:t>study</w:t>
      </w:r>
      <w:r w:rsidR="0065004F">
        <w:t xml:space="preserve"> </w:t>
      </w:r>
      <w:r w:rsidR="005625A3">
        <w:t xml:space="preserve">and focuses on how </w:t>
      </w:r>
      <w:r w:rsidR="00DD67F0">
        <w:t xml:space="preserve">Black women students leverage community cultural wealth to develop employability skills within an undergraduate </w:t>
      </w:r>
      <w:r w:rsidR="00B31205">
        <w:t>agricultural program at a PWI. F</w:t>
      </w:r>
      <w:r w:rsidR="00DD67F0">
        <w:t xml:space="preserve">indings are organized into two </w:t>
      </w:r>
      <w:r w:rsidR="00B31205">
        <w:t xml:space="preserve">primary </w:t>
      </w:r>
      <w:r w:rsidR="00DD67F0">
        <w:t xml:space="preserve">categories: </w:t>
      </w:r>
      <w:r w:rsidR="001C6551">
        <w:t>(a) Forms of c</w:t>
      </w:r>
      <w:r w:rsidR="00DD67F0">
        <w:t xml:space="preserve">ommunity </w:t>
      </w:r>
      <w:r w:rsidR="001C6551">
        <w:t>c</w:t>
      </w:r>
      <w:r w:rsidR="00DD67F0">
        <w:t xml:space="preserve">ultural </w:t>
      </w:r>
      <w:r w:rsidR="001C6551">
        <w:t>w</w:t>
      </w:r>
      <w:r w:rsidR="00DD67F0">
        <w:t>ealth</w:t>
      </w:r>
      <w:r>
        <w:t xml:space="preserve"> </w:t>
      </w:r>
      <w:r w:rsidR="001C6551">
        <w:t xml:space="preserve">that </w:t>
      </w:r>
      <w:r w:rsidR="00D369E0">
        <w:t>support students’ development and persistence, and (b) culturally sustaining strengths that extend dominant employability frameworks</w:t>
      </w:r>
      <w:r>
        <w:t xml:space="preserve">. </w:t>
      </w:r>
      <w:r w:rsidR="00B75AB9">
        <w:t xml:space="preserve">Participants drew on </w:t>
      </w:r>
      <w:r w:rsidR="006864ED" w:rsidRPr="00E468D8">
        <w:t xml:space="preserve">aspirational, familial, and navigational capital </w:t>
      </w:r>
      <w:r w:rsidR="002B5DC9">
        <w:t>to navigate their academic experience and build fundamental competencies. Most not</w:t>
      </w:r>
      <w:r w:rsidR="00E0734F">
        <w:t>ably</w:t>
      </w:r>
      <w:r w:rsidR="00F30772">
        <w:t xml:space="preserve">, findings revealed two culturally sustaining strengths, empathy and resilience, that function as critical employability skills yet are not explicitly recognized within the existing employability skills framework. </w:t>
      </w:r>
    </w:p>
    <w:p w14:paraId="65E7AF86" w14:textId="77777777" w:rsidR="00F30772" w:rsidRDefault="00F30772" w:rsidP="00F86067">
      <w:pPr>
        <w:rPr>
          <w:color w:val="C00000"/>
        </w:rPr>
      </w:pPr>
    </w:p>
    <w:p w14:paraId="4BE597A1" w14:textId="20CD20AB" w:rsidR="00F30772" w:rsidRPr="00B9533B" w:rsidRDefault="00EF592D" w:rsidP="0057033E">
      <w:pPr>
        <w:rPr>
          <w:b/>
          <w:bCs/>
          <w:color w:val="000000" w:themeColor="text1"/>
        </w:rPr>
      </w:pPr>
      <w:r w:rsidRPr="00F30772">
        <w:rPr>
          <w:b/>
          <w:bCs/>
          <w:color w:val="000000" w:themeColor="text1"/>
        </w:rPr>
        <w:t xml:space="preserve">Community Cultural </w:t>
      </w:r>
      <w:r w:rsidR="00F30772" w:rsidRPr="00F30772">
        <w:rPr>
          <w:b/>
          <w:bCs/>
          <w:color w:val="000000" w:themeColor="text1"/>
        </w:rPr>
        <w:t>Wealth</w:t>
      </w:r>
      <w:r w:rsidRPr="00F30772">
        <w:rPr>
          <w:b/>
          <w:bCs/>
          <w:color w:val="000000" w:themeColor="text1"/>
        </w:rPr>
        <w:t xml:space="preserve"> </w:t>
      </w:r>
    </w:p>
    <w:p w14:paraId="700F532D" w14:textId="77777777" w:rsidR="00B9533B" w:rsidRDefault="00B9533B" w:rsidP="00E852D8">
      <w:pPr>
        <w:rPr>
          <w:i/>
          <w:iCs/>
          <w:color w:val="000000" w:themeColor="text1"/>
        </w:rPr>
      </w:pPr>
    </w:p>
    <w:p w14:paraId="7572600F" w14:textId="1C4A78F7" w:rsidR="00B9533B" w:rsidRDefault="00724FB8" w:rsidP="00E852D8">
      <w:pPr>
        <w:rPr>
          <w:i/>
          <w:iCs/>
          <w:color w:val="000000" w:themeColor="text1"/>
          <w:lang w:val="en-US"/>
        </w:rPr>
      </w:pPr>
      <w:r w:rsidRPr="00F30772">
        <w:rPr>
          <w:i/>
          <w:iCs/>
          <w:color w:val="000000" w:themeColor="text1"/>
          <w:lang w:val="en-US"/>
        </w:rPr>
        <w:t>Navigational Capital</w:t>
      </w:r>
      <w:r w:rsidR="00F30772">
        <w:rPr>
          <w:i/>
          <w:iCs/>
          <w:color w:val="000000" w:themeColor="text1"/>
          <w:lang w:val="en-US"/>
        </w:rPr>
        <w:t>.</w:t>
      </w:r>
    </w:p>
    <w:p w14:paraId="6C6F7DF9" w14:textId="786AF2B2" w:rsidR="00D26E69" w:rsidRPr="00E852D8" w:rsidRDefault="00724FB8" w:rsidP="00E852D8">
      <w:pPr>
        <w:rPr>
          <w:i/>
          <w:iCs/>
          <w:color w:val="000000" w:themeColor="text1"/>
          <w:lang w:val="en-US"/>
        </w:rPr>
      </w:pPr>
      <w:r w:rsidRPr="00F30772">
        <w:rPr>
          <w:i/>
          <w:iCs/>
          <w:color w:val="000000" w:themeColor="text1"/>
          <w:lang w:val="en-US"/>
        </w:rPr>
        <w:t xml:space="preserve"> </w:t>
      </w:r>
      <w:r w:rsidRPr="00E468D8">
        <w:rPr>
          <w:lang w:val="en-US"/>
        </w:rPr>
        <w:t>Participants described engaging in behavioral and psychological adjustment as a strategy for navigating predominantly White academic spaces. This form of navigational capital in</w:t>
      </w:r>
      <w:r w:rsidRPr="008C3719">
        <w:rPr>
          <w:lang w:val="en-US"/>
        </w:rPr>
        <w:t xml:space="preserve">volved </w:t>
      </w:r>
      <w:r w:rsidRPr="00E468D8">
        <w:rPr>
          <w:lang w:val="en-US"/>
        </w:rPr>
        <w:t xml:space="preserve">modulating behavior, communication, and expectations to access learning environments while protecting personal well-being. Skylar explained that she often felt the need to </w:t>
      </w:r>
      <w:r w:rsidRPr="000949E9">
        <w:rPr>
          <w:lang w:val="en-US"/>
        </w:rPr>
        <w:t>“</w:t>
      </w:r>
      <w:r w:rsidRPr="009F2BAA">
        <w:rPr>
          <w:lang w:val="en-US"/>
        </w:rPr>
        <w:t>walk on eggshells</w:t>
      </w:r>
      <w:r w:rsidRPr="000949E9">
        <w:rPr>
          <w:lang w:val="en-US"/>
        </w:rPr>
        <w:t>”</w:t>
      </w:r>
      <w:r w:rsidRPr="00E468D8">
        <w:rPr>
          <w:lang w:val="en-US"/>
        </w:rPr>
        <w:t xml:space="preserve"> in certain settings to avoid being stereotyped, noting that she was cautious about how she presented herself to prevent being perceived negatively because of her race.</w:t>
      </w:r>
      <w:r w:rsidR="000949E9">
        <w:rPr>
          <w:lang w:val="en-US"/>
        </w:rPr>
        <w:t xml:space="preserve"> </w:t>
      </w:r>
      <w:r w:rsidRPr="00E468D8">
        <w:rPr>
          <w:lang w:val="en-US"/>
        </w:rPr>
        <w:t>These adjustments were particularly evident in classroom and laboratory settings, where participants navigated assumptions about their competence. Skylar described being dismissed by peers during group laboratory work, stating, “</w:t>
      </w:r>
      <w:r w:rsidRPr="00D904F9">
        <w:rPr>
          <w:i/>
          <w:iCs/>
          <w:lang w:val="en-US"/>
        </w:rPr>
        <w:t>I mentioned like, hey, I think we’re supposed to do it this way, and it’s like in one ear and out the other.</w:t>
      </w:r>
      <w:r w:rsidRPr="00E468D8">
        <w:rPr>
          <w:lang w:val="en-US"/>
        </w:rPr>
        <w:t>” Despite these interactions, she noted that her teaching assistant used her lab reports as examples for the class, reinforcing her technical competence and persistence in the course. Participants also described employing psychological coping strategies, such as mentally “</w:t>
      </w:r>
      <w:r w:rsidRPr="00D904F9">
        <w:rPr>
          <w:i/>
          <w:iCs/>
          <w:lang w:val="en-US"/>
        </w:rPr>
        <w:t>tuning out</w:t>
      </w:r>
      <w:r w:rsidRPr="00E468D8">
        <w:rPr>
          <w:lang w:val="en-US"/>
        </w:rPr>
        <w:t xml:space="preserve">” racialized messages, to remain focused and engaged in their academic work. Collectively, these experiences reflect how Black women </w:t>
      </w:r>
      <w:r w:rsidR="00920004">
        <w:rPr>
          <w:lang w:val="en-US"/>
        </w:rPr>
        <w:t xml:space="preserve">students </w:t>
      </w:r>
      <w:r w:rsidRPr="00E468D8">
        <w:rPr>
          <w:lang w:val="en-US"/>
        </w:rPr>
        <w:t>leveraged navigational capital to develop self-regulation, communication, and resilience</w:t>
      </w:r>
      <w:r w:rsidR="00920004">
        <w:rPr>
          <w:lang w:val="en-US"/>
        </w:rPr>
        <w:t xml:space="preserve">; </w:t>
      </w:r>
      <w:r w:rsidRPr="00E468D8">
        <w:rPr>
          <w:lang w:val="en-US"/>
        </w:rPr>
        <w:t>skills that are foundational to employability in agricultural and scientific fields.</w:t>
      </w:r>
    </w:p>
    <w:p w14:paraId="6F6CB050" w14:textId="77777777" w:rsidR="00D26E69" w:rsidRPr="00E468D8" w:rsidRDefault="00D26E69" w:rsidP="0057033E">
      <w:pPr>
        <w:rPr>
          <w:lang w:val="en-US"/>
        </w:rPr>
      </w:pPr>
    </w:p>
    <w:p w14:paraId="657F8D37" w14:textId="77777777" w:rsidR="00B9533B" w:rsidRDefault="00DB05B3" w:rsidP="00E852D8">
      <w:pPr>
        <w:rPr>
          <w:i/>
          <w:iCs/>
          <w:lang w:val="en-US"/>
        </w:rPr>
      </w:pPr>
      <w:r w:rsidRPr="00F30772">
        <w:rPr>
          <w:i/>
          <w:iCs/>
          <w:lang w:val="en-US"/>
        </w:rPr>
        <w:t xml:space="preserve">Familial </w:t>
      </w:r>
      <w:r w:rsidR="008B15CC" w:rsidRPr="00F30772">
        <w:rPr>
          <w:i/>
          <w:iCs/>
          <w:lang w:val="en-US"/>
        </w:rPr>
        <w:t>C</w:t>
      </w:r>
      <w:r w:rsidRPr="00F30772">
        <w:rPr>
          <w:i/>
          <w:iCs/>
          <w:lang w:val="en-US"/>
        </w:rPr>
        <w:t>apital</w:t>
      </w:r>
      <w:r w:rsidR="00126A36">
        <w:rPr>
          <w:i/>
          <w:iCs/>
          <w:lang w:val="en-US"/>
        </w:rPr>
        <w:t>.</w:t>
      </w:r>
    </w:p>
    <w:p w14:paraId="113103B3" w14:textId="018CF146" w:rsidR="00D26E69" w:rsidRPr="00B9533B" w:rsidRDefault="009924BB" w:rsidP="00B9533B">
      <w:pPr>
        <w:rPr>
          <w:i/>
          <w:iCs/>
          <w:lang w:val="en-US"/>
        </w:rPr>
      </w:pPr>
      <w:r w:rsidRPr="00F30772">
        <w:rPr>
          <w:i/>
          <w:iCs/>
          <w:lang w:val="en-US"/>
        </w:rPr>
        <w:t xml:space="preserve"> </w:t>
      </w:r>
      <w:r w:rsidR="003751FA" w:rsidRPr="00E468D8">
        <w:rPr>
          <w:lang w:val="en-US"/>
        </w:rPr>
        <w:t>Family support emerged as a critical source of familial capital</w:t>
      </w:r>
      <w:r w:rsidR="009C2DE5" w:rsidRPr="00E468D8">
        <w:rPr>
          <w:lang w:val="en-US"/>
        </w:rPr>
        <w:t>, encouraging participants to pursue agricultural careers and persevere</w:t>
      </w:r>
      <w:r w:rsidR="003751FA" w:rsidRPr="00E468D8">
        <w:rPr>
          <w:lang w:val="en-US"/>
        </w:rPr>
        <w:t xml:space="preserve"> through academic and social challenges. Participants described family members as reinforcing long-term aspirations and providing emotional validation during moments of doubt. Monet, a </w:t>
      </w:r>
      <w:r w:rsidR="0009768B" w:rsidRPr="00E468D8">
        <w:rPr>
          <w:lang w:val="en-US"/>
        </w:rPr>
        <w:t>P</w:t>
      </w:r>
      <w:r w:rsidR="003751FA" w:rsidRPr="00E468D8">
        <w:rPr>
          <w:lang w:val="en-US"/>
        </w:rPr>
        <w:t xml:space="preserve">re-veterinary </w:t>
      </w:r>
      <w:r w:rsidR="0009768B" w:rsidRPr="00E468D8">
        <w:rPr>
          <w:lang w:val="en-US"/>
        </w:rPr>
        <w:t>S</w:t>
      </w:r>
      <w:r w:rsidR="003751FA" w:rsidRPr="00E468D8">
        <w:rPr>
          <w:lang w:val="en-US"/>
        </w:rPr>
        <w:t xml:space="preserve">cience major, recalled her grandmother’s encouragement, </w:t>
      </w:r>
      <w:r w:rsidR="003751FA" w:rsidRPr="00E468D8">
        <w:rPr>
          <w:i/>
          <w:iCs/>
          <w:lang w:val="en-US"/>
        </w:rPr>
        <w:t>“</w:t>
      </w:r>
      <w:r w:rsidR="003751FA" w:rsidRPr="00D904F9">
        <w:rPr>
          <w:i/>
          <w:iCs/>
          <w:lang w:val="en-US"/>
        </w:rPr>
        <w:t xml:space="preserve">I think that you can do it, and I know that you can do it… I </w:t>
      </w:r>
      <w:r w:rsidR="003751FA" w:rsidRPr="00D904F9">
        <w:rPr>
          <w:i/>
          <w:iCs/>
          <w:lang w:val="en-US"/>
        </w:rPr>
        <w:lastRenderedPageBreak/>
        <w:t>believe in you.</w:t>
      </w:r>
      <w:r w:rsidR="003751FA" w:rsidRPr="009F2BAA">
        <w:rPr>
          <w:lang w:val="en-US"/>
        </w:rPr>
        <w:t>”</w:t>
      </w:r>
      <w:r w:rsidR="003751FA" w:rsidRPr="00E468D8">
        <w:rPr>
          <w:lang w:val="en-US"/>
        </w:rPr>
        <w:t xml:space="preserve"> These affirmations reminded participants of their original motivations for entering </w:t>
      </w:r>
      <w:r w:rsidR="009C2DE5" w:rsidRPr="00E468D8">
        <w:rPr>
          <w:lang w:val="en-US"/>
        </w:rPr>
        <w:t xml:space="preserve">the field of </w:t>
      </w:r>
      <w:r w:rsidR="003751FA" w:rsidRPr="00E468D8">
        <w:rPr>
          <w:lang w:val="en-US"/>
        </w:rPr>
        <w:t xml:space="preserve">agriculture and reinforced their commitment to completing their </w:t>
      </w:r>
      <w:proofErr w:type="spellStart"/>
      <w:proofErr w:type="gramStart"/>
      <w:r w:rsidR="003751FA" w:rsidRPr="00E468D8">
        <w:rPr>
          <w:lang w:val="en-US"/>
        </w:rPr>
        <w:t>degrees.In</w:t>
      </w:r>
      <w:proofErr w:type="spellEnd"/>
      <w:proofErr w:type="gramEnd"/>
      <w:r w:rsidR="003751FA" w:rsidRPr="00E468D8">
        <w:rPr>
          <w:lang w:val="en-US"/>
        </w:rPr>
        <w:t xml:space="preserve"> addition to emotional support, participants also drew on intergenerational familial capital rooted in early experiential learning and cultural knowledge transfer. Naomi described home gardening with her grandmother and mother as shaping her understanding of agriculture, noting that when she thinks about growing plants, “</w:t>
      </w:r>
      <w:r w:rsidR="003751FA" w:rsidRPr="00AB245C">
        <w:rPr>
          <w:i/>
          <w:iCs/>
          <w:lang w:val="en-US"/>
        </w:rPr>
        <w:t>they are definitely the people I would think about.”</w:t>
      </w:r>
      <w:r w:rsidR="003751FA" w:rsidRPr="00E468D8">
        <w:rPr>
          <w:lang w:val="en-US"/>
        </w:rPr>
        <w:t xml:space="preserve"> Others referenced family </w:t>
      </w:r>
      <w:r w:rsidR="009C2DE5" w:rsidRPr="00E468D8">
        <w:rPr>
          <w:lang w:val="en-US"/>
        </w:rPr>
        <w:t>landownership</w:t>
      </w:r>
      <w:r w:rsidR="003751FA" w:rsidRPr="00E468D8">
        <w:rPr>
          <w:lang w:val="en-US"/>
        </w:rPr>
        <w:t xml:space="preserve"> and agricultural legacies as sources of pride and confidence that strengthened their sense of belonging in the field. </w:t>
      </w:r>
      <w:r w:rsidR="009D0483" w:rsidRPr="00E468D8">
        <w:rPr>
          <w:lang w:val="en-US"/>
        </w:rPr>
        <w:t>F</w:t>
      </w:r>
      <w:r w:rsidR="003751FA" w:rsidRPr="00E468D8">
        <w:rPr>
          <w:lang w:val="en-US"/>
        </w:rPr>
        <w:t xml:space="preserve">amilial experiences supported persistence and </w:t>
      </w:r>
      <w:r w:rsidR="00AB245C">
        <w:rPr>
          <w:lang w:val="en-US"/>
        </w:rPr>
        <w:t>fostered employability-related capacities,</w:t>
      </w:r>
      <w:r w:rsidR="003751FA" w:rsidRPr="00E468D8">
        <w:rPr>
          <w:lang w:val="en-US"/>
        </w:rPr>
        <w:t xml:space="preserve"> such as self-management, confidence, and long-term goal orientation.</w:t>
      </w:r>
    </w:p>
    <w:p w14:paraId="44179842" w14:textId="77777777" w:rsidR="00D26E69" w:rsidRPr="00B91697" w:rsidRDefault="00D26E69" w:rsidP="0057033E">
      <w:pPr>
        <w:ind w:firstLine="720"/>
        <w:rPr>
          <w:lang w:val="en-US"/>
        </w:rPr>
      </w:pPr>
    </w:p>
    <w:p w14:paraId="731462C6" w14:textId="77777777" w:rsidR="00A63937" w:rsidRDefault="009C2DE5" w:rsidP="00A63937">
      <w:pPr>
        <w:rPr>
          <w:i/>
          <w:iCs/>
          <w:lang w:val="en-US"/>
        </w:rPr>
      </w:pPr>
      <w:r w:rsidRPr="00F30772">
        <w:rPr>
          <w:i/>
          <w:iCs/>
          <w:lang w:val="en-US"/>
        </w:rPr>
        <w:t xml:space="preserve">Aspirational </w:t>
      </w:r>
      <w:r w:rsidR="008B15CC" w:rsidRPr="00F30772">
        <w:rPr>
          <w:i/>
          <w:iCs/>
          <w:lang w:val="en-US"/>
        </w:rPr>
        <w:t>C</w:t>
      </w:r>
      <w:r w:rsidRPr="00F30772">
        <w:rPr>
          <w:i/>
          <w:iCs/>
          <w:lang w:val="en-US"/>
        </w:rPr>
        <w:t>apital</w:t>
      </w:r>
      <w:r w:rsidR="00126A36">
        <w:rPr>
          <w:i/>
          <w:iCs/>
          <w:lang w:val="en-US"/>
        </w:rPr>
        <w:t>.</w:t>
      </w:r>
      <w:r w:rsidRPr="00F30772">
        <w:rPr>
          <w:i/>
          <w:iCs/>
          <w:lang w:val="en-US"/>
        </w:rPr>
        <w:t xml:space="preserve"> </w:t>
      </w:r>
    </w:p>
    <w:p w14:paraId="6F4AA144" w14:textId="7C7B2337" w:rsidR="00D26E69" w:rsidRPr="00B9533B" w:rsidRDefault="009C2DE5" w:rsidP="00B9533B">
      <w:pPr>
        <w:rPr>
          <w:i/>
          <w:iCs/>
          <w:lang w:val="en-US"/>
        </w:rPr>
      </w:pPr>
      <w:r w:rsidRPr="00E468D8">
        <w:rPr>
          <w:lang w:val="en-US"/>
        </w:rPr>
        <w:t xml:space="preserve">Participants described aspirational capital as emerging from early, informal exposure to animals and agricultural contexts that shaped their interest in agricultural careers. Even without traditional </w:t>
      </w:r>
      <w:r w:rsidR="008C367A">
        <w:rPr>
          <w:lang w:val="en-US"/>
        </w:rPr>
        <w:t>agricultural</w:t>
      </w:r>
      <w:r w:rsidRPr="00E468D8">
        <w:rPr>
          <w:lang w:val="en-US"/>
        </w:rPr>
        <w:t xml:space="preserve"> backgrounds, experiences such as caring for pets, visiting zoos, and participating in school-based field trips helped participants envision themselves in animal and veterinary science pathways. Brittany explained that her interest in veterinary medicine developed after caring for her first dog, stating, </w:t>
      </w:r>
      <w:r w:rsidRPr="009F2BAA">
        <w:rPr>
          <w:lang w:val="en-US"/>
        </w:rPr>
        <w:t>“</w:t>
      </w:r>
      <w:r w:rsidRPr="008C367A">
        <w:rPr>
          <w:i/>
          <w:iCs/>
          <w:lang w:val="en-US"/>
        </w:rPr>
        <w:t>I kind of just fell in love with taking her to the vet, and that’s what got me into animal medicine.</w:t>
      </w:r>
      <w:r w:rsidRPr="009F2BAA">
        <w:rPr>
          <w:lang w:val="en-US"/>
        </w:rPr>
        <w:t>”</w:t>
      </w:r>
      <w:r w:rsidRPr="00E468D8">
        <w:rPr>
          <w:lang w:val="en-US"/>
        </w:rPr>
        <w:t xml:space="preserve"> Similarly, Naomi described how engaging with animals through media and caring for a pet sparked her curiosity and motivated her to explore veterinary careers independently.</w:t>
      </w:r>
      <w:r w:rsidR="000C4BD5">
        <w:rPr>
          <w:lang w:val="en-US"/>
        </w:rPr>
        <w:t xml:space="preserve"> </w:t>
      </w:r>
      <w:proofErr w:type="gramStart"/>
      <w:r w:rsidRPr="00E468D8">
        <w:rPr>
          <w:lang w:val="en-US"/>
        </w:rPr>
        <w:t>Beyond</w:t>
      </w:r>
      <w:proofErr w:type="gramEnd"/>
      <w:r w:rsidRPr="00E468D8">
        <w:rPr>
          <w:lang w:val="en-US"/>
        </w:rPr>
        <w:t xml:space="preserve"> early exposure, participants’ aspirations were sustained by a strong sense of purpose tied to community, representation, and giving back. Several participants expressed a motivation to complete their degrees, not only for personal success, but also to honor family sacrifices and increase the representation of Black women in agricultural professions. Bailey shared, </w:t>
      </w:r>
      <w:r w:rsidRPr="00E468D8">
        <w:rPr>
          <w:i/>
          <w:iCs/>
          <w:lang w:val="en-US"/>
        </w:rPr>
        <w:t>“I’ve actually never seen a Black vet at all… maybe I’ll become one, and then somebody else can see that they can do it too.”</w:t>
      </w:r>
      <w:r w:rsidRPr="00E468D8">
        <w:rPr>
          <w:lang w:val="en-US"/>
        </w:rPr>
        <w:t xml:space="preserve"> </w:t>
      </w:r>
      <w:r w:rsidR="009D0483" w:rsidRPr="00E468D8">
        <w:rPr>
          <w:lang w:val="en-US"/>
        </w:rPr>
        <w:t>T</w:t>
      </w:r>
      <w:r w:rsidRPr="00E468D8">
        <w:rPr>
          <w:lang w:val="en-US"/>
        </w:rPr>
        <w:t>hese findings illustrate how aspirational capital functioned as a driving force that supported persistence, goal orientation, and long-term career commitment, key dimensions of employability in agricultural fields.</w:t>
      </w:r>
    </w:p>
    <w:p w14:paraId="0DE79A85" w14:textId="77777777" w:rsidR="005C3FA2" w:rsidRPr="00E468D8" w:rsidRDefault="005C3FA2" w:rsidP="0057033E">
      <w:pPr>
        <w:rPr>
          <w:lang w:val="en-US"/>
        </w:rPr>
      </w:pPr>
    </w:p>
    <w:p w14:paraId="2DEE778F" w14:textId="6B7F2BED" w:rsidR="00C0339D" w:rsidRPr="00F30772" w:rsidRDefault="00AD00B7" w:rsidP="0057033E">
      <w:pPr>
        <w:rPr>
          <w:b/>
          <w:bCs/>
        </w:rPr>
      </w:pPr>
      <w:r w:rsidRPr="00F30772">
        <w:rPr>
          <w:b/>
          <w:bCs/>
        </w:rPr>
        <w:t xml:space="preserve">Culturally Sustaining Strengths </w:t>
      </w:r>
    </w:p>
    <w:p w14:paraId="30FE6399" w14:textId="77777777" w:rsidR="00F30772" w:rsidRDefault="00F30772" w:rsidP="0057033E">
      <w:pPr>
        <w:rPr>
          <w:i/>
          <w:iCs/>
        </w:rPr>
      </w:pPr>
    </w:p>
    <w:p w14:paraId="320373BD" w14:textId="34A4CAA1" w:rsidR="00D26E69" w:rsidRPr="00F30772" w:rsidRDefault="009924BB" w:rsidP="0057033E">
      <w:pPr>
        <w:rPr>
          <w:lang w:val="en-US"/>
        </w:rPr>
      </w:pPr>
      <w:r w:rsidRPr="00F30772">
        <w:rPr>
          <w:i/>
          <w:iCs/>
        </w:rPr>
        <w:t>Empathy</w:t>
      </w:r>
      <w:r w:rsidR="00F30772">
        <w:rPr>
          <w:lang w:val="en-US"/>
        </w:rPr>
        <w:t>.</w:t>
      </w:r>
      <w:r w:rsidRPr="00F30772">
        <w:rPr>
          <w:lang w:val="en-US"/>
        </w:rPr>
        <w:t xml:space="preserve"> </w:t>
      </w:r>
    </w:p>
    <w:p w14:paraId="56DB32EA" w14:textId="77777777" w:rsidR="00B9533B" w:rsidRDefault="009924BB" w:rsidP="00B9533B">
      <w:pPr>
        <w:rPr>
          <w:lang w:val="en-US"/>
        </w:rPr>
      </w:pPr>
      <w:r w:rsidRPr="00E468D8">
        <w:rPr>
          <w:lang w:val="en-US"/>
        </w:rPr>
        <w:t xml:space="preserve">Participants demonstrated empathy as a culturally sustaining strength that supported collaboration and persistence in emotionally demanding agricultural learning environments. Empathy enabled participants to recognize and respond to </w:t>
      </w:r>
      <w:r w:rsidR="008C367A">
        <w:rPr>
          <w:lang w:val="en-US"/>
        </w:rPr>
        <w:t xml:space="preserve">others' emotions </w:t>
      </w:r>
      <w:r w:rsidRPr="00E468D8">
        <w:rPr>
          <w:lang w:val="en-US"/>
        </w:rPr>
        <w:t xml:space="preserve">while maintaining focus and professionalism. Brittany described supporting classmates during a meat processing course when peers struggled emotionally after processing animals, stating, </w:t>
      </w:r>
      <w:r w:rsidRPr="00E468D8">
        <w:rPr>
          <w:i/>
          <w:iCs/>
          <w:lang w:val="en-US"/>
        </w:rPr>
        <w:t>“I felt down, maybe because she was down… I tried to keep a positive mindset and kind of put that positivity onto her.”</w:t>
      </w:r>
      <w:r w:rsidRPr="00E468D8">
        <w:rPr>
          <w:lang w:val="en-US"/>
        </w:rPr>
        <w:t xml:space="preserve"> Her ability to anticipate and respond to others’ emotional needs allowed her to navigate a challenging learning experience while supporting her peers.</w:t>
      </w:r>
    </w:p>
    <w:p w14:paraId="1D19AD15" w14:textId="5089F079" w:rsidR="00D26E69" w:rsidRPr="00E468D8" w:rsidRDefault="009924BB" w:rsidP="00B9533B">
      <w:pPr>
        <w:rPr>
          <w:lang w:val="en-US"/>
        </w:rPr>
      </w:pPr>
      <w:r w:rsidRPr="00E468D8">
        <w:rPr>
          <w:lang w:val="en-US"/>
        </w:rPr>
        <w:t xml:space="preserve">Participants also emphasized </w:t>
      </w:r>
      <w:r w:rsidR="002133F7" w:rsidRPr="00E468D8">
        <w:rPr>
          <w:lang w:val="en-US"/>
        </w:rPr>
        <w:t xml:space="preserve">the importance of </w:t>
      </w:r>
      <w:r w:rsidRPr="00E468D8">
        <w:rPr>
          <w:lang w:val="en-US"/>
        </w:rPr>
        <w:t xml:space="preserve">empathy as essential for effective teamwork in diverse settings. Monet explained that meaningful collaboration requires understanding and respecting different backgrounds and perspectives, noting, </w:t>
      </w:r>
      <w:r w:rsidRPr="00E468D8">
        <w:rPr>
          <w:i/>
          <w:iCs/>
          <w:lang w:val="en-US"/>
        </w:rPr>
        <w:t>“I don’t think you’re able to have good collaboration or good ideas if everyone just thinks exactly like you.”</w:t>
      </w:r>
      <w:r w:rsidRPr="00E468D8">
        <w:rPr>
          <w:lang w:val="en-US"/>
        </w:rPr>
        <w:t xml:space="preserve"> </w:t>
      </w:r>
      <w:r w:rsidR="00674B9C" w:rsidRPr="00E468D8">
        <w:rPr>
          <w:lang w:val="en-US"/>
        </w:rPr>
        <w:t>T</w:t>
      </w:r>
      <w:r w:rsidRPr="00E468D8">
        <w:rPr>
          <w:lang w:val="en-US"/>
        </w:rPr>
        <w:t>hese findings suggest that empathy</w:t>
      </w:r>
      <w:r w:rsidR="00B80F82" w:rsidRPr="00E468D8">
        <w:rPr>
          <w:lang w:val="en-US"/>
        </w:rPr>
        <w:t xml:space="preserve">, </w:t>
      </w:r>
      <w:r w:rsidRPr="00E468D8">
        <w:rPr>
          <w:lang w:val="en-US"/>
        </w:rPr>
        <w:t xml:space="preserve">shaped by </w:t>
      </w:r>
      <w:proofErr w:type="gramStart"/>
      <w:r w:rsidR="002133F7" w:rsidRPr="00E468D8">
        <w:rPr>
          <w:lang w:val="en-US"/>
        </w:rPr>
        <w:t>participants'</w:t>
      </w:r>
      <w:proofErr w:type="gramEnd"/>
      <w:r w:rsidRPr="00E468D8">
        <w:rPr>
          <w:lang w:val="en-US"/>
        </w:rPr>
        <w:t xml:space="preserve"> lived experiences and cultural awareness</w:t>
      </w:r>
      <w:r w:rsidR="00B80F82" w:rsidRPr="00E468D8">
        <w:rPr>
          <w:lang w:val="en-US"/>
        </w:rPr>
        <w:t xml:space="preserve">, </w:t>
      </w:r>
      <w:r w:rsidRPr="00E468D8">
        <w:rPr>
          <w:lang w:val="en-US"/>
        </w:rPr>
        <w:t xml:space="preserve">functions as an employability-related strength that enhances communication, teamwork, and adaptability in </w:t>
      </w:r>
      <w:r w:rsidRPr="00E468D8">
        <w:rPr>
          <w:lang w:val="en-US"/>
        </w:rPr>
        <w:lastRenderedPageBreak/>
        <w:t>agricultural and veterinary contexts, yet remains largely absent from dominant employability skills framework</w:t>
      </w:r>
      <w:r w:rsidR="00D26E69" w:rsidRPr="00E468D8">
        <w:rPr>
          <w:lang w:val="en-US"/>
        </w:rPr>
        <w:t>s.</w:t>
      </w:r>
    </w:p>
    <w:p w14:paraId="2A802C44" w14:textId="77777777" w:rsidR="00D26E69" w:rsidRPr="00E468D8" w:rsidRDefault="00D26E69" w:rsidP="0057033E">
      <w:pPr>
        <w:rPr>
          <w:lang w:val="en-US"/>
        </w:rPr>
      </w:pPr>
    </w:p>
    <w:p w14:paraId="1B6850AB" w14:textId="2A3FA7A5" w:rsidR="00D26E69" w:rsidRPr="00F30772" w:rsidRDefault="009924BB" w:rsidP="0057033E">
      <w:pPr>
        <w:rPr>
          <w:b/>
          <w:bCs/>
        </w:rPr>
      </w:pPr>
      <w:r w:rsidRPr="00F30772">
        <w:rPr>
          <w:i/>
          <w:iCs/>
        </w:rPr>
        <w:t>Resilience</w:t>
      </w:r>
      <w:r w:rsidR="00F30772">
        <w:rPr>
          <w:b/>
          <w:bCs/>
        </w:rPr>
        <w:t>.</w:t>
      </w:r>
      <w:r w:rsidRPr="00F30772">
        <w:rPr>
          <w:b/>
          <w:bCs/>
        </w:rPr>
        <w:t xml:space="preserve"> </w:t>
      </w:r>
    </w:p>
    <w:p w14:paraId="18BBADFE" w14:textId="77777777" w:rsidR="00D26E69" w:rsidRPr="00E468D8" w:rsidRDefault="002133F7" w:rsidP="00C51DC4">
      <w:pPr>
        <w:rPr>
          <w:i/>
          <w:iCs/>
          <w:lang w:val="en-US"/>
        </w:rPr>
      </w:pPr>
      <w:r w:rsidRPr="00E468D8">
        <w:rPr>
          <w:lang w:val="en-US"/>
        </w:rPr>
        <w:t xml:space="preserve">Participants described persistence and resilience as culturally sustaining strengths that enabled them to navigate personal, academic, and racialized challenges while remaining committed to their educational and career goals. These capacities were particularly evident when participants encountered setbacks that might otherwise derail progress. Monet described managing chronic health challenges that affected her academic performance, noting that she reached a point where she questioned her ability to continue. However, she explained that she adjusted her strategies, sought support, and remained committed to her goal of veterinary school, stating, </w:t>
      </w:r>
      <w:r w:rsidRPr="00E468D8">
        <w:rPr>
          <w:i/>
          <w:iCs/>
          <w:lang w:val="en-US"/>
        </w:rPr>
        <w:t>“I learned how to deal with failure and to overcome obstacles… it helped me become resilient and flexible.”</w:t>
      </w:r>
    </w:p>
    <w:p w14:paraId="7796E9B8" w14:textId="04E2345A" w:rsidR="00186E2C" w:rsidRPr="00E468D8" w:rsidRDefault="002133F7" w:rsidP="00C51DC4">
      <w:pPr>
        <w:rPr>
          <w:lang w:val="en-US"/>
        </w:rPr>
      </w:pPr>
      <w:r w:rsidRPr="00E468D8">
        <w:rPr>
          <w:lang w:val="en-US"/>
        </w:rPr>
        <w:t>Participants also demonstrated resilience in response to racial and gender bias within professional and experiential learning environments. Willow described navigating a male-dominated summer scouting program where she was unfairly labeled as “</w:t>
      </w:r>
      <w:r w:rsidRPr="00E468D8">
        <w:rPr>
          <w:i/>
          <w:iCs/>
          <w:lang w:val="en-US"/>
        </w:rPr>
        <w:t>lazy</w:t>
      </w:r>
      <w:r w:rsidRPr="00E468D8">
        <w:rPr>
          <w:lang w:val="en-US"/>
        </w:rPr>
        <w:t xml:space="preserve">” after experiencing illness during a work assignment. Despite feeling marginalized and underrepresented, she persisted in the role and continued fulfilling her responsibilities until her efforts were recognized and the unfair treatment was acknowledged. </w:t>
      </w:r>
      <w:r w:rsidR="004130E9" w:rsidRPr="00E468D8">
        <w:rPr>
          <w:lang w:val="en-US"/>
        </w:rPr>
        <w:t>Such</w:t>
      </w:r>
      <w:r w:rsidRPr="00E468D8">
        <w:rPr>
          <w:lang w:val="en-US"/>
        </w:rPr>
        <w:t xml:space="preserve"> experiences illustrate how persistence and resilience </w:t>
      </w:r>
      <w:r w:rsidR="005D013A">
        <w:rPr>
          <w:lang w:val="en-US"/>
        </w:rPr>
        <w:t>function</w:t>
      </w:r>
      <w:r w:rsidRPr="00E468D8">
        <w:rPr>
          <w:lang w:val="en-US"/>
        </w:rPr>
        <w:t xml:space="preserve"> as employability-related strengths, supporting adaptability, commitment, and perseverance in the face of adversity</w:t>
      </w:r>
      <w:r w:rsidR="00B80F82" w:rsidRPr="00E468D8">
        <w:rPr>
          <w:lang w:val="en-US"/>
        </w:rPr>
        <w:t xml:space="preserve">, </w:t>
      </w:r>
      <w:r w:rsidRPr="00E468D8">
        <w:rPr>
          <w:lang w:val="en-US"/>
        </w:rPr>
        <w:t>qualities essential for success in agricultural and veterinary professions.</w:t>
      </w:r>
    </w:p>
    <w:p w14:paraId="229AA32E" w14:textId="77777777" w:rsidR="00186E2C" w:rsidRPr="00E468D8" w:rsidRDefault="00186E2C" w:rsidP="0057033E">
      <w:pPr>
        <w:rPr>
          <w:lang w:val="en-US"/>
        </w:rPr>
      </w:pPr>
    </w:p>
    <w:p w14:paraId="244EFA9F" w14:textId="45BD1F7C" w:rsidR="00186E2C" w:rsidRPr="00E468D8" w:rsidRDefault="004A34FA" w:rsidP="00E02EAA">
      <w:pPr>
        <w:jc w:val="center"/>
        <w:rPr>
          <w:b/>
          <w:bCs/>
        </w:rPr>
      </w:pPr>
      <w:r w:rsidRPr="00E468D8">
        <w:rPr>
          <w:b/>
          <w:bCs/>
        </w:rPr>
        <w:t>Conclusions, Implications</w:t>
      </w:r>
      <w:r w:rsidR="008B15CC" w:rsidRPr="00E468D8">
        <w:rPr>
          <w:b/>
          <w:bCs/>
        </w:rPr>
        <w:t>,</w:t>
      </w:r>
      <w:r w:rsidRPr="00E468D8">
        <w:rPr>
          <w:b/>
          <w:bCs/>
        </w:rPr>
        <w:t xml:space="preserve"> and Recommendations</w:t>
      </w:r>
    </w:p>
    <w:p w14:paraId="3E96B5AE" w14:textId="77777777" w:rsidR="00186E2C" w:rsidRPr="00E468D8" w:rsidRDefault="00186E2C" w:rsidP="0057033E">
      <w:pPr>
        <w:rPr>
          <w:b/>
          <w:bCs/>
        </w:rPr>
      </w:pPr>
    </w:p>
    <w:p w14:paraId="409E0253" w14:textId="21021281" w:rsidR="00FF5FB2" w:rsidRPr="00E468D8" w:rsidRDefault="00B75502" w:rsidP="0057033E">
      <w:pPr>
        <w:ind w:firstLine="720"/>
      </w:pPr>
      <w:r w:rsidRPr="00E468D8">
        <w:t>This</w:t>
      </w:r>
      <w:r w:rsidR="00FF5FB2" w:rsidRPr="00E468D8">
        <w:t xml:space="preserve"> study examined how Black women enrolled in </w:t>
      </w:r>
      <w:r w:rsidR="00C96E53" w:rsidRPr="00E468D8">
        <w:t xml:space="preserve">an </w:t>
      </w:r>
      <w:r w:rsidR="00FF5FB2" w:rsidRPr="00E468D8">
        <w:t xml:space="preserve">undergraduate agricultural program at a predominantly White institution developed employability through their Community Cultural Wealth. </w:t>
      </w:r>
      <w:r w:rsidR="003825F0" w:rsidRPr="00E468D8">
        <w:t>Through the lens of the community cultural wealth (Yosso, 2005) and the employability skills framework (</w:t>
      </w:r>
      <w:r w:rsidR="0086131D" w:rsidRPr="00E468D8">
        <w:t>U.S. Department of Education, 2018)</w:t>
      </w:r>
      <w:r w:rsidR="003825F0" w:rsidRPr="00E468D8">
        <w:t>,</w:t>
      </w:r>
      <w:r w:rsidR="00BC753D" w:rsidRPr="00E468D8">
        <w:t xml:space="preserve"> </w:t>
      </w:r>
      <w:r w:rsidR="00FF5FB2" w:rsidRPr="00E468D8">
        <w:t xml:space="preserve">findings </w:t>
      </w:r>
      <w:r w:rsidR="003825F0" w:rsidRPr="00E468D8">
        <w:t>suggested</w:t>
      </w:r>
      <w:r w:rsidR="00FF5FB2" w:rsidRPr="00E468D8">
        <w:t xml:space="preserve"> </w:t>
      </w:r>
      <w:r w:rsidR="001668EC" w:rsidRPr="00E468D8">
        <w:t>(a)</w:t>
      </w:r>
      <w:r w:rsidR="00FF5FB2" w:rsidRPr="00E468D8">
        <w:t xml:space="preserve"> aspirational, </w:t>
      </w:r>
      <w:r w:rsidR="001668EC" w:rsidRPr="00E468D8">
        <w:t>(b)</w:t>
      </w:r>
      <w:r w:rsidR="001B20A8">
        <w:t xml:space="preserve"> </w:t>
      </w:r>
      <w:r w:rsidR="00FF5FB2" w:rsidRPr="00E468D8">
        <w:t xml:space="preserve">familial, and </w:t>
      </w:r>
      <w:r w:rsidR="001668EC" w:rsidRPr="00E468D8">
        <w:t xml:space="preserve">(c) </w:t>
      </w:r>
      <w:r w:rsidR="00FF5FB2" w:rsidRPr="00E468D8">
        <w:t xml:space="preserve">navigational capital shaped participants’ academic persistence and career readiness, while also revealing </w:t>
      </w:r>
      <w:r w:rsidR="00EB3D8D" w:rsidRPr="00E468D8">
        <w:t xml:space="preserve">(d) </w:t>
      </w:r>
      <w:r w:rsidR="00FF5FB2" w:rsidRPr="00E468D8">
        <w:t>culturally sustaining strengths that ex</w:t>
      </w:r>
      <w:r w:rsidR="00F828A6" w:rsidRPr="00E468D8">
        <w:t>pand</w:t>
      </w:r>
      <w:r w:rsidR="00FF5FB2" w:rsidRPr="00E468D8">
        <w:t xml:space="preserve"> dominant employability </w:t>
      </w:r>
      <w:r w:rsidR="00F828A6" w:rsidRPr="00E468D8">
        <w:t xml:space="preserve">skill </w:t>
      </w:r>
      <w:r w:rsidR="00FF5FB2" w:rsidRPr="00E468D8">
        <w:t>frameworks. By centering Black women’s voices, this study contributes an asset-based perspective to ongoing debates about workforce preparedness in agricultural education.</w:t>
      </w:r>
    </w:p>
    <w:p w14:paraId="6ED2DA63" w14:textId="77777777" w:rsidR="00FF5FB2" w:rsidRPr="00E468D8" w:rsidRDefault="00FF5FB2" w:rsidP="0057033E"/>
    <w:p w14:paraId="036A9B5A" w14:textId="7153FE40" w:rsidR="00A24768" w:rsidRPr="00E468D8" w:rsidRDefault="00B75502" w:rsidP="0057033E">
      <w:pPr>
        <w:ind w:firstLine="720"/>
      </w:pPr>
      <w:r w:rsidRPr="00E468D8">
        <w:t>Ongoing debate in higher agricultural education suggests that recent graduates are not adequately prepared with the employability skills most valued by the agricultural industry, including problem-solving, critical thinking, and communication (Crawford, 2020; Norris et al., 2023; Parrella et al., 2024). A</w:t>
      </w:r>
      <w:r w:rsidR="00FF5FB2" w:rsidRPr="00E468D8">
        <w:t xml:space="preserve"> salient finding is that participants did not enter college lacking employability skills; rather, they brought foundational competencies, such as confidence, respect, communication, critical thinking, responsibility, and accountability, from their homes and communities and further refined these skills through their collegiate experiences. Consistent with Juhász and Horváth-Csikós (2021), who emphasized the importance of higher-order behavioral skills for success in the agricultural industry, </w:t>
      </w:r>
      <w:r w:rsidR="00FF5FB2" w:rsidRPr="00184BA7">
        <w:t xml:space="preserve">the findings of this study suggest </w:t>
      </w:r>
      <w:r w:rsidR="00FF5FB2" w:rsidRPr="00E468D8">
        <w:t>that such skills are cultivated not only in postsecondary education but also across multiple out-of-school contexts.</w:t>
      </w:r>
      <w:r w:rsidR="00794BB7" w:rsidRPr="00E468D8">
        <w:t xml:space="preserve"> </w:t>
      </w:r>
    </w:p>
    <w:p w14:paraId="60CDB627" w14:textId="77777777" w:rsidR="00A24768" w:rsidRPr="00E468D8" w:rsidRDefault="00A24768" w:rsidP="0057033E">
      <w:pPr>
        <w:ind w:firstLine="720"/>
      </w:pPr>
    </w:p>
    <w:p w14:paraId="14AE0FEC" w14:textId="77777777" w:rsidR="00A24768" w:rsidRPr="00E468D8" w:rsidRDefault="00F828A6" w:rsidP="0057033E">
      <w:pPr>
        <w:ind w:firstLine="720"/>
        <w:rPr>
          <w:color w:val="000000" w:themeColor="text1"/>
        </w:rPr>
      </w:pPr>
      <w:r w:rsidRPr="00E468D8">
        <w:lastRenderedPageBreak/>
        <w:t>For instance, p</w:t>
      </w:r>
      <w:r w:rsidR="00FF5FB2" w:rsidRPr="00E468D8">
        <w:t xml:space="preserve">articipants </w:t>
      </w:r>
      <w:r w:rsidR="00FF5FB2" w:rsidRPr="00F72056">
        <w:rPr>
          <w:color w:val="000000" w:themeColor="text1"/>
        </w:rPr>
        <w:t xml:space="preserve">identified homes, churches, local animal shelters, veterinary hospitals, and community spaces </w:t>
      </w:r>
      <w:r w:rsidR="00760F24" w:rsidRPr="00F72056">
        <w:rPr>
          <w:color w:val="000000" w:themeColor="text1"/>
        </w:rPr>
        <w:t>as</w:t>
      </w:r>
      <w:r w:rsidR="00FF5FB2" w:rsidRPr="00F72056">
        <w:rPr>
          <w:color w:val="000000" w:themeColor="text1"/>
        </w:rPr>
        <w:t xml:space="preserve"> </w:t>
      </w:r>
      <w:r w:rsidR="00FF5FB2" w:rsidRPr="00E468D8">
        <w:t>sites where employability</w:t>
      </w:r>
      <w:r w:rsidRPr="00E468D8">
        <w:t xml:space="preserve"> </w:t>
      </w:r>
      <w:r w:rsidR="00FF5FB2" w:rsidRPr="00E468D8">
        <w:t>skills were developed prior to and alongside formal education. Given that postsecondary systems often overlook these contexts when evaluating employability development</w:t>
      </w:r>
      <w:r w:rsidRPr="00E468D8">
        <w:t xml:space="preserve"> (Hendrix &amp; Morrison, 2018; Richter et al., 2018; </w:t>
      </w:r>
      <w:proofErr w:type="spellStart"/>
      <w:r w:rsidRPr="00E468D8">
        <w:t>Ziker</w:t>
      </w:r>
      <w:proofErr w:type="spellEnd"/>
      <w:r w:rsidRPr="00E468D8">
        <w:t xml:space="preserve"> &amp; Paredes, 2023), this study underscores the need to recognize community-based learning environments as legitimate and influential sites </w:t>
      </w:r>
      <w:r w:rsidR="00FF5FB2" w:rsidRPr="00E468D8">
        <w:t>for skill development.</w:t>
      </w:r>
      <w:r w:rsidRPr="00E468D8">
        <w:t xml:space="preserve"> </w:t>
      </w:r>
      <w:r w:rsidR="00FF5FB2" w:rsidRPr="00E468D8">
        <w:rPr>
          <w:color w:val="000000" w:themeColor="text1"/>
        </w:rPr>
        <w:t xml:space="preserve">Moreover, across findings, Black women drew upon community cultural wealth cultivated in their homes, communities, and lived experiences prior to college and </w:t>
      </w:r>
      <w:r w:rsidR="00E65312" w:rsidRPr="00E468D8">
        <w:rPr>
          <w:color w:val="000000" w:themeColor="text1"/>
        </w:rPr>
        <w:t>continued to develop these skills during college.</w:t>
      </w:r>
      <w:r w:rsidR="00FF5FB2" w:rsidRPr="00E468D8">
        <w:rPr>
          <w:color w:val="000000" w:themeColor="text1"/>
        </w:rPr>
        <w:t xml:space="preserve"> </w:t>
      </w:r>
    </w:p>
    <w:p w14:paraId="03343B7C" w14:textId="77777777" w:rsidR="003A3734" w:rsidRPr="00E468D8" w:rsidRDefault="003A3734" w:rsidP="0057033E">
      <w:pPr>
        <w:ind w:firstLine="720"/>
        <w:rPr>
          <w:color w:val="000000" w:themeColor="text1"/>
        </w:rPr>
      </w:pPr>
    </w:p>
    <w:p w14:paraId="76BF2AD1" w14:textId="536A9B2A" w:rsidR="00FF5FB2" w:rsidRPr="00E468D8" w:rsidRDefault="00FF5FB2" w:rsidP="0057033E">
      <w:pPr>
        <w:ind w:firstLine="720"/>
      </w:pPr>
      <w:r w:rsidRPr="00E468D8">
        <w:t xml:space="preserve">Aspirational capital was evident in participants’ early and sustained interest in agricultural careers, despite their non-dominant agricultural backgrounds and their underrepresentation in the field, particularly in veterinary medicine. These findings conflict with those of Balezentis et al. (2021) and </w:t>
      </w:r>
      <w:proofErr w:type="spellStart"/>
      <w:r w:rsidRPr="00B750C5">
        <w:t>Girdžiūtė</w:t>
      </w:r>
      <w:proofErr w:type="spellEnd"/>
      <w:r w:rsidRPr="00B750C5">
        <w:t xml:space="preserve"> et al. (2022), </w:t>
      </w:r>
      <w:r w:rsidRPr="00E468D8">
        <w:t xml:space="preserve">who found that women had less interest in choosing agriculture as a career. A plausible explanation for this difference is that the impact of race and intersectionality was not considered in these broader studies and, therefore, may not have captured the unique motivations and </w:t>
      </w:r>
      <w:r w:rsidR="003C573E">
        <w:t>interests that</w:t>
      </w:r>
      <w:r w:rsidRPr="00E468D8">
        <w:t xml:space="preserve"> Black women hold for pursuing agriculture. Framing women as having “less interest” reflects a deficit perspective that positions women as the problem rather than examining the systemic, institutional, and cultural contexts that shape participation in </w:t>
      </w:r>
      <w:r w:rsidR="00180F20" w:rsidRPr="00E468D8">
        <w:t>these male-dominated</w:t>
      </w:r>
      <w:r w:rsidRPr="00E468D8">
        <w:t xml:space="preserve"> fields.</w:t>
      </w:r>
    </w:p>
    <w:p w14:paraId="3948C6E8" w14:textId="77777777" w:rsidR="00180F20" w:rsidRPr="00E468D8" w:rsidRDefault="00180F20" w:rsidP="0057033E"/>
    <w:p w14:paraId="5AF62D14" w14:textId="377F6ECC" w:rsidR="00C45E68" w:rsidRPr="00E468D8" w:rsidRDefault="00FF5FB2" w:rsidP="0057033E">
      <w:r w:rsidRPr="00E468D8">
        <w:t xml:space="preserve">The findings underscore the importance of incorporating </w:t>
      </w:r>
      <w:r w:rsidR="00180F20" w:rsidRPr="00E468D8">
        <w:t>ethnicity</w:t>
      </w:r>
      <w:r w:rsidRPr="00E468D8">
        <w:t xml:space="preserve"> and intersectional analyses into agricultural education research to develop a more nuanced understanding of women’s career aspirations. Participants’ aspirational capital was often </w:t>
      </w:r>
      <w:r w:rsidR="00180F20" w:rsidRPr="00E468D8">
        <w:t>grounded</w:t>
      </w:r>
      <w:r w:rsidRPr="00E468D8">
        <w:t xml:space="preserve"> in values related to community care, representation, and stewardship rather than solely </w:t>
      </w:r>
      <w:r w:rsidR="00180F20" w:rsidRPr="00E468D8">
        <w:t>in occupational or economic values</w:t>
      </w:r>
      <w:r w:rsidRPr="00E468D8">
        <w:t xml:space="preserve">. These findings corroborate Reese and Cooper (2021), who noted that Black women’s involvement in agriculture extends beyond production alone and is deeply connected to caring for their communities and stewarding the land. </w:t>
      </w:r>
    </w:p>
    <w:p w14:paraId="73CC07E2" w14:textId="77777777" w:rsidR="009054BA" w:rsidRDefault="009054BA" w:rsidP="0057033E">
      <w:pPr>
        <w:ind w:firstLine="720"/>
      </w:pPr>
    </w:p>
    <w:p w14:paraId="2231C631" w14:textId="1EF9FE2B" w:rsidR="00FF5FB2" w:rsidRPr="00E468D8" w:rsidRDefault="00222613" w:rsidP="0057033E">
      <w:pPr>
        <w:ind w:firstLine="720"/>
      </w:pPr>
      <w:r w:rsidRPr="00E468D8">
        <w:t>F</w:t>
      </w:r>
      <w:r w:rsidR="00180F20" w:rsidRPr="00E468D8">
        <w:t xml:space="preserve">amilial capital, </w:t>
      </w:r>
      <w:r w:rsidR="003A3734" w:rsidRPr="00E468D8">
        <w:t>specifically</w:t>
      </w:r>
      <w:r w:rsidR="00180F20" w:rsidRPr="00E468D8">
        <w:t xml:space="preserve"> intergenerational encouragement and cultural knowledge transfer, </w:t>
      </w:r>
      <w:r w:rsidR="00FF5FB2" w:rsidRPr="00E468D8">
        <w:t>emerged as a central mechanism shaping participants’ persistence and career direction. Prior research has consistently suggested that parents’ occupational background and direct involvement in agriculture influence students’ career decisions (</w:t>
      </w:r>
      <w:proofErr w:type="spellStart"/>
      <w:r w:rsidR="00FF5FB2" w:rsidRPr="00E468D8">
        <w:t>Girdžiūtė</w:t>
      </w:r>
      <w:proofErr w:type="spellEnd"/>
      <w:r w:rsidR="00FF5FB2" w:rsidRPr="00E468D8">
        <w:t xml:space="preserve"> et al., 2022; Jones</w:t>
      </w:r>
      <w:r w:rsidR="00210039">
        <w:t xml:space="preserve"> et al.</w:t>
      </w:r>
      <w:r w:rsidR="00FF5FB2" w:rsidRPr="00E468D8">
        <w:t xml:space="preserve">, 2001). However, the findings of the present study </w:t>
      </w:r>
      <w:r w:rsidR="00180F20" w:rsidRPr="00E468D8">
        <w:t>conflicted</w:t>
      </w:r>
      <w:r w:rsidR="00FF5FB2" w:rsidRPr="00E468D8">
        <w:t xml:space="preserve"> </w:t>
      </w:r>
      <w:r w:rsidR="00D43ADE">
        <w:t xml:space="preserve">with </w:t>
      </w:r>
      <w:r w:rsidR="00FF5FB2" w:rsidRPr="00E468D8">
        <w:t>this assumption</w:t>
      </w:r>
      <w:r w:rsidR="00180F20" w:rsidRPr="00E468D8">
        <w:t xml:space="preserve"> as</w:t>
      </w:r>
      <w:r w:rsidR="00FF5FB2" w:rsidRPr="00E468D8">
        <w:t xml:space="preserve"> none of the participants came from dominant agricultural backgrounds or had parents employed in agriculture, yet they were strongly motivated to pursue agricultural career pathways. This divergence suggests that familial influence may operate through </w:t>
      </w:r>
      <w:r w:rsidR="00180F20" w:rsidRPr="00E468D8">
        <w:t>cultural practices</w:t>
      </w:r>
      <w:r w:rsidR="00FF5FB2" w:rsidRPr="00E468D8">
        <w:t xml:space="preserve"> and support not captured by occupational indicators, including in-home gardening, spiritual values, and emotional encouragement.</w:t>
      </w:r>
      <w:r w:rsidR="00D44713" w:rsidRPr="00E468D8">
        <w:t xml:space="preserve"> G</w:t>
      </w:r>
      <w:r w:rsidR="00FF5FB2" w:rsidRPr="00E468D8">
        <w:t xml:space="preserve">randparents </w:t>
      </w:r>
      <w:r w:rsidR="00D44713" w:rsidRPr="00E468D8">
        <w:t xml:space="preserve">emerged </w:t>
      </w:r>
      <w:r w:rsidR="00FF5FB2" w:rsidRPr="00E468D8">
        <w:t>as particularly influential in shaping early agricultural exposure and sustaining motivation to persist. Many referenced grandparents as role models who shared family traditions and cultural knowledge through hands-on practices such as home gardening and land-based legacies. This pattern aligns with research emphasizing the distinctive and lasting impact of intergenerational education on children’s connection to agriculture and learning (Wang et al., 2023). Moreover, consistent caregiving and cultural transmission by Black grandparents may foster strong emotional bonds and stability</w:t>
      </w:r>
      <w:r w:rsidR="00180F20" w:rsidRPr="00E468D8">
        <w:t>, thereby influencing</w:t>
      </w:r>
      <w:r w:rsidR="00FF5FB2" w:rsidRPr="00E468D8">
        <w:t xml:space="preserve"> grandchildren’s aspirations and persistence (Washington, 2024). Participants’ deep-rooted love for animals and nature,</w:t>
      </w:r>
      <w:r w:rsidR="00180F20" w:rsidRPr="00E468D8">
        <w:t xml:space="preserve"> </w:t>
      </w:r>
      <w:r w:rsidR="00FF5FB2" w:rsidRPr="00E468D8">
        <w:t>often nurtured and reinforced by parents</w:t>
      </w:r>
      <w:r w:rsidR="00180F20" w:rsidRPr="00E468D8">
        <w:t xml:space="preserve">, </w:t>
      </w:r>
      <w:r w:rsidR="00FF5FB2" w:rsidRPr="00E468D8">
        <w:t xml:space="preserve">further </w:t>
      </w:r>
      <w:r w:rsidR="00180F20" w:rsidRPr="00E468D8">
        <w:t xml:space="preserve">strengthened </w:t>
      </w:r>
      <w:r w:rsidR="00180F20" w:rsidRPr="00E468D8">
        <w:lastRenderedPageBreak/>
        <w:t>their interest in agricultural and veterinary pathways, aligning with research indicating that a willingness to work in agriculture increases when young people have a strong connection to</w:t>
      </w:r>
      <w:r w:rsidR="00FF5FB2" w:rsidRPr="00E468D8">
        <w:t xml:space="preserve"> animals and nature (Baldwin et al., 2017).</w:t>
      </w:r>
    </w:p>
    <w:p w14:paraId="626CA798" w14:textId="77777777" w:rsidR="00BB5551" w:rsidRPr="00E468D8" w:rsidRDefault="00BB5551" w:rsidP="0057033E"/>
    <w:p w14:paraId="6A8CFC45" w14:textId="1A294BCA" w:rsidR="00FF5FB2" w:rsidRPr="00E468D8" w:rsidRDefault="00BB5551" w:rsidP="0057033E">
      <w:pPr>
        <w:ind w:firstLine="720"/>
      </w:pPr>
      <w:r w:rsidRPr="00E468D8">
        <w:t>N</w:t>
      </w:r>
      <w:r w:rsidR="00FF5FB2" w:rsidRPr="00E468D8">
        <w:t>avigational capital played a c</w:t>
      </w:r>
      <w:r w:rsidRPr="00E468D8">
        <w:t>entral</w:t>
      </w:r>
      <w:r w:rsidR="00FF5FB2" w:rsidRPr="00E468D8">
        <w:t xml:space="preserve"> role in shaping how Black women persisted and developed employability skills within a predominantly White institutional context. </w:t>
      </w:r>
      <w:r w:rsidRPr="00E468D8">
        <w:t xml:space="preserve">Although </w:t>
      </w:r>
      <w:r w:rsidR="008D1CC5" w:rsidRPr="00E468D8">
        <w:t>participants</w:t>
      </w:r>
      <w:r w:rsidR="00F5631B" w:rsidRPr="00E468D8">
        <w:t xml:space="preserve"> anticipated</w:t>
      </w:r>
      <w:r w:rsidR="008D1CC5" w:rsidRPr="00E468D8">
        <w:t xml:space="preserve"> </w:t>
      </w:r>
      <w:r w:rsidR="009854DF" w:rsidRPr="00E468D8">
        <w:t xml:space="preserve">various </w:t>
      </w:r>
      <w:r w:rsidR="008D1CC5" w:rsidRPr="00E468D8">
        <w:t>challenges</w:t>
      </w:r>
      <w:r w:rsidR="009854DF" w:rsidRPr="00E468D8">
        <w:t xml:space="preserve">, they </w:t>
      </w:r>
      <w:r w:rsidR="00270DCD" w:rsidRPr="00E468D8">
        <w:t xml:space="preserve">chose their institution for the academic quality it provided to a veterinary career pathway. </w:t>
      </w:r>
      <w:r w:rsidR="0016005B" w:rsidRPr="00E468D8">
        <w:t xml:space="preserve">Consistent with findings </w:t>
      </w:r>
      <w:r w:rsidR="00600759" w:rsidRPr="00E468D8">
        <w:t xml:space="preserve">by Kenny (2022) and </w:t>
      </w:r>
      <w:proofErr w:type="spellStart"/>
      <w:r w:rsidR="00600759" w:rsidRPr="009D28D0">
        <w:t>Cropps</w:t>
      </w:r>
      <w:proofErr w:type="spellEnd"/>
      <w:r w:rsidR="00600759" w:rsidRPr="009D28D0">
        <w:t xml:space="preserve"> (202</w:t>
      </w:r>
      <w:r w:rsidR="009D28D0" w:rsidRPr="009D28D0">
        <w:t>3</w:t>
      </w:r>
      <w:r w:rsidR="00600759" w:rsidRPr="009D28D0">
        <w:t xml:space="preserve">), </w:t>
      </w:r>
      <w:r w:rsidR="005A7223" w:rsidRPr="00E468D8">
        <w:t xml:space="preserve">Dortch and Patel (2017) and McGee and Martin (2011), </w:t>
      </w:r>
      <w:r w:rsidR="00600759" w:rsidRPr="00E468D8">
        <w:t>many experienced racialized microaggressions that fostered self-doubt and</w:t>
      </w:r>
      <w:r w:rsidR="00FF5FB2" w:rsidRPr="00E468D8">
        <w:t xml:space="preserve"> isolation, resulting </w:t>
      </w:r>
      <w:r w:rsidR="00F72C8F" w:rsidRPr="00E468D8">
        <w:t>in them</w:t>
      </w:r>
      <w:r w:rsidR="00FF5FB2" w:rsidRPr="00E468D8">
        <w:t xml:space="preserve"> suppress</w:t>
      </w:r>
      <w:r w:rsidR="00F72C8F" w:rsidRPr="00E468D8">
        <w:t>ing</w:t>
      </w:r>
      <w:r w:rsidR="00FF5FB2" w:rsidRPr="00E468D8">
        <w:t xml:space="preserve"> aspects of their identity </w:t>
      </w:r>
      <w:r w:rsidR="00F72C8F" w:rsidRPr="00E468D8">
        <w:t xml:space="preserve">as they </w:t>
      </w:r>
      <w:r w:rsidR="00FF5FB2" w:rsidRPr="00E468D8">
        <w:t>“walk on eggshells” to navigate the racial climate</w:t>
      </w:r>
      <w:r w:rsidR="00F72C8F" w:rsidRPr="00E468D8">
        <w:t xml:space="preserve"> in their institution</w:t>
      </w:r>
      <w:r w:rsidR="00FF5FB2" w:rsidRPr="00E468D8">
        <w:t xml:space="preserve">. </w:t>
      </w:r>
      <w:r w:rsidR="00AE23CC" w:rsidRPr="00E468D8">
        <w:t xml:space="preserve">Because </w:t>
      </w:r>
      <w:r w:rsidR="005A7223" w:rsidRPr="00E468D8">
        <w:t xml:space="preserve">PWI </w:t>
      </w:r>
      <w:r w:rsidR="00B45F63" w:rsidRPr="00E468D8">
        <w:t>remain structured around dominant norms, especially within agricultural education curriculum (Martin et al., 2023), participants drew heavily on their support networks, resilience,</w:t>
      </w:r>
      <w:r w:rsidR="00475D0E" w:rsidRPr="00E468D8">
        <w:t xml:space="preserve"> and perseverance to remain committed to their educational goals. </w:t>
      </w:r>
    </w:p>
    <w:p w14:paraId="0C9E0826" w14:textId="77777777" w:rsidR="00540F0D" w:rsidRPr="00E468D8" w:rsidRDefault="00540F0D" w:rsidP="0057033E"/>
    <w:p w14:paraId="2C873C3F" w14:textId="6F91B7C0" w:rsidR="00FF5FB2" w:rsidRPr="00E468D8" w:rsidRDefault="00FF5FB2" w:rsidP="0057033E">
      <w:pPr>
        <w:ind w:firstLine="720"/>
        <w:rPr>
          <w:i/>
          <w:iCs/>
        </w:rPr>
      </w:pPr>
      <w:r w:rsidRPr="00E468D8">
        <w:t>Most notably, participants’ community cultural wealth enabled the development of two culturally sustaining strengths,</w:t>
      </w:r>
      <w:r w:rsidR="00540F0D" w:rsidRPr="00E468D8">
        <w:t xml:space="preserve"> </w:t>
      </w:r>
      <w:r w:rsidRPr="00E468D8">
        <w:t xml:space="preserve">empathy and </w:t>
      </w:r>
      <w:r w:rsidR="00540F0D" w:rsidRPr="00E468D8">
        <w:t>resilience, that</w:t>
      </w:r>
      <w:r w:rsidRPr="00E468D8">
        <w:t xml:space="preserve"> are not explicitly named within dominant employability skills frameworks yet were central to participants’ persistence and career readiness. Resilience supported participants’ ability to navigate academic challenges, health concerns, racialized experiences, and institutional barriers, while empathy enhanced their capacity to collaborate, communicate across </w:t>
      </w:r>
      <w:r w:rsidR="00540F0D" w:rsidRPr="00E468D8">
        <w:t>differences</w:t>
      </w:r>
      <w:r w:rsidRPr="00E468D8">
        <w:t xml:space="preserve">, and support others in emotionally demanding agricultural contexts. As one participant reflected, experiencing hardship and failure </w:t>
      </w:r>
      <w:r w:rsidRPr="00E468D8">
        <w:rPr>
          <w:i/>
          <w:iCs/>
        </w:rPr>
        <w:t>“really prepared me so well for my future… because it helped me become more resilient.”</w:t>
      </w:r>
    </w:p>
    <w:p w14:paraId="5B1F1A19" w14:textId="5A7C6DBA" w:rsidR="00FF5FB2" w:rsidRPr="00E468D8" w:rsidRDefault="00FF5FB2" w:rsidP="0057033E">
      <w:r w:rsidRPr="00E468D8">
        <w:t xml:space="preserve">These findings suggest that empathy and resilience function as critical employability </w:t>
      </w:r>
      <w:r w:rsidR="008E70B6" w:rsidRPr="00E468D8">
        <w:t>competencies</w:t>
      </w:r>
      <w:r w:rsidRPr="00E468D8">
        <w:t xml:space="preserve"> rather than peripheral personal traits. Employees who can persevere through adversity and demonstrate empathy when working with diverse colleagues and stakeholders may be less susceptible to burnout (Stanley et al., 2024; Yanar et al., 2022) and better positioned to contribute to productive, adaptive, and stable workplaces. In an agricultural industry facing rapid technological change, labor shortages, and global challenges such as food insecurity and climate change, these culturally sustaining strengths are essential for long-term workforce effectiveness and sustainability (Erickson et al., 2018).</w:t>
      </w:r>
    </w:p>
    <w:p w14:paraId="5339096C" w14:textId="5CE1570F" w:rsidR="00FF5FB2" w:rsidRDefault="00FF5FB2" w:rsidP="0057033E">
      <w:pPr>
        <w:ind w:firstLine="720"/>
      </w:pPr>
      <w:r w:rsidRPr="00E468D8">
        <w:t xml:space="preserve">Taken together, these findings extend dominant employability frameworks by illustrating how culturally </w:t>
      </w:r>
      <w:r w:rsidR="00540F0D" w:rsidRPr="00E468D8">
        <w:t>grounded strengths, developed</w:t>
      </w:r>
      <w:r w:rsidRPr="00E468D8">
        <w:t xml:space="preserve"> through community cultural </w:t>
      </w:r>
      <w:r w:rsidR="00540F0D" w:rsidRPr="00E468D8">
        <w:t>wealth, play</w:t>
      </w:r>
      <w:r w:rsidRPr="00E468D8">
        <w:t xml:space="preserve"> a central role in preparing students for complex agricultural careers. Recognizing empathy and resilience as employability skills reframes workforce readiness away from deficit narratives and toward an asset-based understanding of how Black women, and potentially other marginalized students, contribute meaningfully to the agricultural labor force.</w:t>
      </w:r>
    </w:p>
    <w:p w14:paraId="7101666A" w14:textId="77777777" w:rsidR="00617994" w:rsidRDefault="00617994" w:rsidP="0057033E">
      <w:pPr>
        <w:ind w:firstLine="720"/>
      </w:pPr>
    </w:p>
    <w:p w14:paraId="27DA49CA" w14:textId="7DEF8435" w:rsidR="00617994" w:rsidRDefault="00B73868" w:rsidP="00B73868">
      <w:pPr>
        <w:ind w:firstLine="720"/>
      </w:pPr>
      <w:r>
        <w:t xml:space="preserve">While these findings </w:t>
      </w:r>
      <w:r w:rsidR="007828CD">
        <w:t>offer important insights</w:t>
      </w:r>
      <w:r>
        <w:t xml:space="preserve">, several limitations should be acknowledged. </w:t>
      </w:r>
      <w:r w:rsidR="00617994" w:rsidRPr="00617994">
        <w:t xml:space="preserve">This study is limited by its small sample size (N = 10) and focus on a single predominantly White institution, which may limit the transferability of findings (Merriam, 2009). Additionally, findings are based on participants’ self-reported experiences within the constraints of the interview protocol. Despite these limitations, the study offers important </w:t>
      </w:r>
      <w:r w:rsidR="007828CD">
        <w:t xml:space="preserve">insights into how community cultural wealth shapes the development of employability </w:t>
      </w:r>
      <w:r w:rsidR="00617994" w:rsidRPr="00617994">
        <w:t>among Black women in agricultural programs.</w:t>
      </w:r>
    </w:p>
    <w:p w14:paraId="18A22E83" w14:textId="77777777" w:rsidR="00626D11" w:rsidRPr="00E468D8" w:rsidRDefault="00626D11" w:rsidP="0057033E">
      <w:pPr>
        <w:ind w:firstLine="720"/>
      </w:pPr>
    </w:p>
    <w:p w14:paraId="40BF9017" w14:textId="77777777" w:rsidR="00186E2C" w:rsidRPr="00E468D8" w:rsidRDefault="00373F7A" w:rsidP="009F2BAA">
      <w:pPr>
        <w:jc w:val="center"/>
        <w:rPr>
          <w:b/>
          <w:bCs/>
          <w:lang w:val="en-US"/>
        </w:rPr>
      </w:pPr>
      <w:r w:rsidRPr="00E468D8">
        <w:rPr>
          <w:b/>
          <w:bCs/>
          <w:lang w:val="en-US"/>
        </w:rPr>
        <w:lastRenderedPageBreak/>
        <w:t>Implications for Agricultural Education</w:t>
      </w:r>
    </w:p>
    <w:p w14:paraId="0D596EDA" w14:textId="77777777" w:rsidR="00186E2C" w:rsidRPr="00E468D8" w:rsidRDefault="00186E2C" w:rsidP="0057033E">
      <w:pPr>
        <w:rPr>
          <w:b/>
          <w:bCs/>
          <w:lang w:val="en-US"/>
        </w:rPr>
      </w:pPr>
    </w:p>
    <w:p w14:paraId="145FDC0D" w14:textId="62FD7782" w:rsidR="00186E2C" w:rsidRPr="00E468D8" w:rsidRDefault="00373F7A" w:rsidP="0057033E">
      <w:pPr>
        <w:ind w:firstLine="720"/>
        <w:rPr>
          <w:lang w:val="en-US"/>
        </w:rPr>
      </w:pPr>
      <w:r w:rsidRPr="00E468D8">
        <w:rPr>
          <w:lang w:val="en-US"/>
        </w:rPr>
        <w:t>These findings have important implications for agricultural education programs and workforce preparation. First, institutions should broaden how employability is conceptualized and assessed by recognizing homes, families, and communities as legitimate sites of skill development.</w:t>
      </w:r>
      <w:r w:rsidR="005047F6">
        <w:rPr>
          <w:lang w:val="en-US"/>
        </w:rPr>
        <w:t xml:space="preserve"> </w:t>
      </w:r>
      <w:r w:rsidR="00FE12FF" w:rsidRPr="00FE12FF">
        <w:t>As industr</w:t>
      </w:r>
      <w:r w:rsidR="00795397">
        <w:t>ies</w:t>
      </w:r>
      <w:r w:rsidR="00FE12FF" w:rsidRPr="00FE12FF">
        <w:t xml:space="preserve"> increasingly </w:t>
      </w:r>
      <w:r w:rsidR="00C25DBF">
        <w:t>value</w:t>
      </w:r>
      <w:r w:rsidR="00FE12FF" w:rsidRPr="00FE12FF">
        <w:t xml:space="preserve"> behavioral and interpersonal competencies alongside technical skills (</w:t>
      </w:r>
      <w:r w:rsidR="00FE12FF" w:rsidRPr="00EB0E2C">
        <w:t xml:space="preserve">Fischer, 2022; </w:t>
      </w:r>
      <w:proofErr w:type="spellStart"/>
      <w:r w:rsidR="00FE12FF" w:rsidRPr="00FE12FF">
        <w:t>Ziker</w:t>
      </w:r>
      <w:proofErr w:type="spellEnd"/>
      <w:r w:rsidR="00FE12FF" w:rsidRPr="00FE12FF">
        <w:t xml:space="preserve"> &amp; Paredes, 2023), engaging multiple stakeholders in students’ preparation may help close persistent skills gaps rather than relying solely on classroom-based activities (Hendrix &amp; Morrison, 2018).</w:t>
      </w:r>
      <w:r w:rsidR="00FE12FF">
        <w:t xml:space="preserve"> </w:t>
      </w:r>
      <w:r w:rsidRPr="00E468D8">
        <w:rPr>
          <w:lang w:val="en-US"/>
        </w:rPr>
        <w:t>Asset-based frameworks, such as Community Cultural Wealth</w:t>
      </w:r>
      <w:r w:rsidR="00BE19F6">
        <w:rPr>
          <w:lang w:val="en-US"/>
        </w:rPr>
        <w:t xml:space="preserve"> (Yosso, 2005)</w:t>
      </w:r>
      <w:r w:rsidRPr="00E468D8">
        <w:rPr>
          <w:lang w:val="en-US"/>
        </w:rPr>
        <w:t>, offer valuable insight</w:t>
      </w:r>
      <w:r w:rsidR="00C25DBF">
        <w:rPr>
          <w:lang w:val="en-US"/>
        </w:rPr>
        <w:t>s</w:t>
      </w:r>
      <w:r w:rsidRPr="00E468D8">
        <w:rPr>
          <w:lang w:val="en-US"/>
        </w:rPr>
        <w:t xml:space="preserve"> into the ways marginalized students cultivate competencies prior to and alongside formal education. Explicitly valuing empathy and resilience within employability discourse may help shift narratives away from deficit assumptions about student preparedness.</w:t>
      </w:r>
    </w:p>
    <w:p w14:paraId="04C31FD1" w14:textId="77777777" w:rsidR="00186E2C" w:rsidRPr="00E468D8" w:rsidRDefault="00186E2C" w:rsidP="0057033E">
      <w:pPr>
        <w:rPr>
          <w:lang w:val="en-US"/>
        </w:rPr>
      </w:pPr>
    </w:p>
    <w:p w14:paraId="1AF28B17" w14:textId="7BAF5EFB" w:rsidR="00186E2C" w:rsidRPr="00E468D8" w:rsidRDefault="00373F7A" w:rsidP="0057033E">
      <w:pPr>
        <w:ind w:firstLine="720"/>
        <w:rPr>
          <w:lang w:val="en-US"/>
        </w:rPr>
      </w:pPr>
      <w:r w:rsidRPr="00E468D8">
        <w:rPr>
          <w:lang w:val="en-US"/>
        </w:rPr>
        <w:t xml:space="preserve">Second, agricultural education programs, particularly at PWIs, should intentionally </w:t>
      </w:r>
      <w:r w:rsidRPr="0052075D">
        <w:rPr>
          <w:lang w:val="en-US"/>
        </w:rPr>
        <w:t xml:space="preserve">design </w:t>
      </w:r>
      <w:r w:rsidR="00C25DBF" w:rsidRPr="0052075D">
        <w:rPr>
          <w:lang w:val="en-US"/>
        </w:rPr>
        <w:t>curriculum</w:t>
      </w:r>
      <w:r w:rsidRPr="0052075D">
        <w:rPr>
          <w:lang w:val="en-US"/>
        </w:rPr>
        <w:t xml:space="preserve">, advising </w:t>
      </w:r>
      <w:r w:rsidRPr="00E468D8">
        <w:rPr>
          <w:lang w:val="en-US"/>
        </w:rPr>
        <w:t xml:space="preserve">practices, and experiential learning opportunities that acknowledge and leverage students’ cultural assets. Participants’ reliance on student organizations, undergraduate research, and study abroad experiences </w:t>
      </w:r>
      <w:proofErr w:type="gramStart"/>
      <w:r w:rsidR="00B95E40">
        <w:rPr>
          <w:lang w:val="en-US"/>
        </w:rPr>
        <w:t>under</w:t>
      </w:r>
      <w:r w:rsidR="003E7455">
        <w:rPr>
          <w:lang w:val="en-US"/>
        </w:rPr>
        <w:t>girds</w:t>
      </w:r>
      <w:proofErr w:type="gramEnd"/>
      <w:r w:rsidRPr="00E468D8">
        <w:rPr>
          <w:lang w:val="en-US"/>
        </w:rPr>
        <w:t xml:space="preserve"> the importance of high-impact practices that foster belonging, professional identity development, and skill refinement</w:t>
      </w:r>
      <w:r w:rsidR="00BE19F6">
        <w:rPr>
          <w:lang w:val="en-US"/>
        </w:rPr>
        <w:t xml:space="preserve"> (</w:t>
      </w:r>
      <w:r w:rsidR="003D5E7A" w:rsidRPr="003D5E7A">
        <w:rPr>
          <w:highlight w:val="white"/>
          <w:lang w:val="en-US"/>
        </w:rPr>
        <w:t>Parrella</w:t>
      </w:r>
      <w:r w:rsidR="003D5E7A">
        <w:rPr>
          <w:lang w:val="en-US"/>
        </w:rPr>
        <w:t xml:space="preserve"> </w:t>
      </w:r>
      <w:r w:rsidR="00C25DBF">
        <w:rPr>
          <w:lang w:val="en-US"/>
        </w:rPr>
        <w:t>et al.</w:t>
      </w:r>
      <w:r w:rsidR="00B95E40">
        <w:rPr>
          <w:lang w:val="en-US"/>
        </w:rPr>
        <w:t xml:space="preserve">, </w:t>
      </w:r>
      <w:r w:rsidR="003D5E7A">
        <w:rPr>
          <w:lang w:val="en-US"/>
        </w:rPr>
        <w:t>2024)</w:t>
      </w:r>
      <w:r w:rsidRPr="00E468D8">
        <w:rPr>
          <w:lang w:val="en-US"/>
        </w:rPr>
        <w:t>. Strengthening partnerships with industry professionals and expanding culturally responsive mentorship opportunities may further enhance students’ transitions from education to the workforce</w:t>
      </w:r>
      <w:r w:rsidR="003D5E7A">
        <w:rPr>
          <w:lang w:val="en-US"/>
        </w:rPr>
        <w:t xml:space="preserve"> (</w:t>
      </w:r>
      <w:r w:rsidR="00002DBE" w:rsidRPr="00002DBE">
        <w:t>Garcia et al., 2024</w:t>
      </w:r>
      <w:r w:rsidR="00FD7FD7">
        <w:t xml:space="preserve">; </w:t>
      </w:r>
      <w:proofErr w:type="spellStart"/>
      <w:r w:rsidR="003D5E7A" w:rsidRPr="00FE12FF">
        <w:t>Ziker</w:t>
      </w:r>
      <w:proofErr w:type="spellEnd"/>
      <w:r w:rsidR="003D5E7A" w:rsidRPr="00FE12FF">
        <w:t xml:space="preserve"> &amp; Paredes, 202</w:t>
      </w:r>
      <w:r w:rsidR="00FD7FD7">
        <w:t>5</w:t>
      </w:r>
      <w:r w:rsidR="003D5E7A">
        <w:t>)</w:t>
      </w:r>
      <w:r w:rsidRPr="00E468D8">
        <w:rPr>
          <w:lang w:val="en-US"/>
        </w:rPr>
        <w:t>.</w:t>
      </w:r>
    </w:p>
    <w:p w14:paraId="4792C324" w14:textId="77777777" w:rsidR="00186E2C" w:rsidRPr="00E468D8" w:rsidRDefault="00186E2C" w:rsidP="0057033E">
      <w:pPr>
        <w:rPr>
          <w:lang w:val="en-US"/>
        </w:rPr>
      </w:pPr>
    </w:p>
    <w:p w14:paraId="624BC1FB" w14:textId="610BA173" w:rsidR="00186E2C" w:rsidRPr="00E468D8" w:rsidRDefault="00373F7A" w:rsidP="009F2BAA">
      <w:pPr>
        <w:jc w:val="center"/>
        <w:rPr>
          <w:b/>
          <w:bCs/>
          <w:lang w:val="en-US"/>
        </w:rPr>
      </w:pPr>
      <w:r w:rsidRPr="00E468D8">
        <w:rPr>
          <w:b/>
          <w:bCs/>
          <w:lang w:val="en-US"/>
        </w:rPr>
        <w:t xml:space="preserve">Recommendations for Practice </w:t>
      </w:r>
      <w:r w:rsidR="00944E1D">
        <w:rPr>
          <w:b/>
          <w:bCs/>
          <w:lang w:val="en-US"/>
        </w:rPr>
        <w:t xml:space="preserve">and </w:t>
      </w:r>
      <w:r w:rsidR="00D43ADE">
        <w:rPr>
          <w:b/>
          <w:bCs/>
          <w:lang w:val="en-US"/>
        </w:rPr>
        <w:t>Future Research</w:t>
      </w:r>
    </w:p>
    <w:p w14:paraId="16FE3995" w14:textId="77777777" w:rsidR="00186E2C" w:rsidRPr="00E468D8" w:rsidRDefault="00186E2C" w:rsidP="0057033E">
      <w:pPr>
        <w:rPr>
          <w:b/>
          <w:bCs/>
          <w:lang w:val="en-US"/>
        </w:rPr>
      </w:pPr>
    </w:p>
    <w:p w14:paraId="29852C86" w14:textId="497E3C5B" w:rsidR="00186E2C" w:rsidRDefault="00373F7A" w:rsidP="00944E1D">
      <w:pPr>
        <w:ind w:firstLine="720"/>
        <w:rPr>
          <w:lang w:val="en-US"/>
        </w:rPr>
      </w:pPr>
      <w:r w:rsidRPr="00E468D8">
        <w:rPr>
          <w:lang w:val="en-US"/>
        </w:rPr>
        <w:t>For practice, agricultural education faculty and administrators should prioritize culturally sustaining pedagogy that reflects the histories, contributions, and lived experiences of Black agriculturalists</w:t>
      </w:r>
      <w:r w:rsidR="005B6EBB">
        <w:rPr>
          <w:lang w:val="en-US"/>
        </w:rPr>
        <w:t xml:space="preserve"> (</w:t>
      </w:r>
      <w:r w:rsidR="005B6EBB" w:rsidRPr="005B6EBB">
        <w:t>Ladson-Billings, 1995; Paris, 2012</w:t>
      </w:r>
      <w:r w:rsidR="005B6EBB">
        <w:t>)</w:t>
      </w:r>
      <w:r w:rsidRPr="00E468D8">
        <w:rPr>
          <w:lang w:val="en-US"/>
        </w:rPr>
        <w:t>. Increasing representation among faculty and mentors, integrating inclusive curricular content, and fostering supportive advising relationships may reduce the additional emotional labor Black women navigate in predominantly White spaces</w:t>
      </w:r>
      <w:r w:rsidR="00451F38">
        <w:rPr>
          <w:lang w:val="en-US"/>
        </w:rPr>
        <w:t xml:space="preserve"> (Washington, 2024)</w:t>
      </w:r>
      <w:r w:rsidRPr="00E468D8">
        <w:rPr>
          <w:lang w:val="en-US"/>
        </w:rPr>
        <w:t xml:space="preserve">. </w:t>
      </w:r>
      <w:r w:rsidR="004007F4">
        <w:rPr>
          <w:lang w:val="en-US"/>
        </w:rPr>
        <w:t>Therefore, c</w:t>
      </w:r>
      <w:r w:rsidRPr="00E468D8">
        <w:rPr>
          <w:lang w:val="en-US"/>
        </w:rPr>
        <w:t>ollaboration between higher education institutions, industry partners, and community organizations can further align workforce expectations with students’ cultural capital</w:t>
      </w:r>
      <w:r w:rsidR="009B7491">
        <w:rPr>
          <w:lang w:val="en-US"/>
        </w:rPr>
        <w:t xml:space="preserve"> </w:t>
      </w:r>
      <w:r w:rsidR="009B7491" w:rsidRPr="00E847DC">
        <w:rPr>
          <w:lang w:val="en-US"/>
        </w:rPr>
        <w:t>(</w:t>
      </w:r>
      <w:r w:rsidR="00871E8D" w:rsidRPr="00E847DC">
        <w:t xml:space="preserve">Business-Higher Education Forum, 2023; </w:t>
      </w:r>
      <w:r w:rsidR="00555C12">
        <w:t>El</w:t>
      </w:r>
      <w:r w:rsidR="009F1C9B">
        <w:t>lis-Robinson &amp; Wayde-Coles</w:t>
      </w:r>
      <w:r w:rsidR="00CA4283">
        <w:t xml:space="preserve">, 2021; </w:t>
      </w:r>
      <w:r w:rsidR="009D0434">
        <w:rPr>
          <w:lang w:val="en-US"/>
        </w:rPr>
        <w:t>Yosso, 2005)</w:t>
      </w:r>
      <w:r w:rsidRPr="00E468D8">
        <w:rPr>
          <w:lang w:val="en-US"/>
        </w:rPr>
        <w:t>.</w:t>
      </w:r>
    </w:p>
    <w:p w14:paraId="2976469C" w14:textId="77777777" w:rsidR="00944E1D" w:rsidRPr="00E468D8" w:rsidRDefault="00944E1D" w:rsidP="00944E1D">
      <w:pPr>
        <w:ind w:firstLine="720"/>
        <w:rPr>
          <w:lang w:val="en-US"/>
        </w:rPr>
      </w:pPr>
    </w:p>
    <w:p w14:paraId="1711E80A" w14:textId="47EFE0EE" w:rsidR="00C51DC4" w:rsidRPr="007828CD" w:rsidRDefault="00373F7A" w:rsidP="007828CD">
      <w:pPr>
        <w:ind w:firstLine="720"/>
        <w:rPr>
          <w:b/>
          <w:bCs/>
          <w:lang w:val="en-US"/>
        </w:rPr>
      </w:pPr>
      <w:r w:rsidRPr="00E468D8">
        <w:rPr>
          <w:lang w:val="en-US"/>
        </w:rPr>
        <w:t xml:space="preserve">Future research should continue to explore employability through asset-based and intersectional lenses. Comparative studies examining Black women’s experiences at Historically Black Colleges and Universities and PWIs may provide additional insight into institutional contexts that best support culturally sustaining skill development. </w:t>
      </w:r>
      <w:r w:rsidR="00D43ADE" w:rsidRPr="00E468D8">
        <w:rPr>
          <w:lang w:val="en-US"/>
        </w:rPr>
        <w:t>Mixed methods</w:t>
      </w:r>
      <w:r w:rsidRPr="00E468D8">
        <w:rPr>
          <w:lang w:val="en-US"/>
        </w:rPr>
        <w:t xml:space="preserve"> approaches and longitudinal studies following graduates into agricultural careers could further examine how empathy, resilience, and community cultural wealth shape long-term professional outcomes. Exploring complementary theoretical perspectives</w:t>
      </w:r>
      <w:r w:rsidR="00B80F82" w:rsidRPr="00E468D8">
        <w:rPr>
          <w:lang w:val="en-US"/>
        </w:rPr>
        <w:t xml:space="preserve">, </w:t>
      </w:r>
      <w:r w:rsidRPr="00E468D8">
        <w:rPr>
          <w:lang w:val="en-US"/>
        </w:rPr>
        <w:t>such as Black feminist thought, environmental justice, and food justice</w:t>
      </w:r>
      <w:r w:rsidR="00B80F82" w:rsidRPr="00E468D8">
        <w:rPr>
          <w:lang w:val="en-US"/>
        </w:rPr>
        <w:t xml:space="preserve">, </w:t>
      </w:r>
      <w:r w:rsidRPr="00E468D8">
        <w:rPr>
          <w:lang w:val="en-US"/>
        </w:rPr>
        <w:t>may also deepen understanding of participation and persistence in agricultural education.</w:t>
      </w:r>
    </w:p>
    <w:p w14:paraId="7A6A3896" w14:textId="77777777" w:rsidR="00C51DC4" w:rsidRDefault="00C51DC4" w:rsidP="00F54231">
      <w:pPr>
        <w:tabs>
          <w:tab w:val="left" w:pos="2370"/>
        </w:tabs>
        <w:jc w:val="center"/>
        <w:rPr>
          <w:b/>
          <w:bCs/>
          <w:lang w:val="es-ES"/>
        </w:rPr>
      </w:pPr>
    </w:p>
    <w:p w14:paraId="5A348D07" w14:textId="77777777" w:rsidR="000C4BD5" w:rsidRDefault="000C4BD5" w:rsidP="00F54231">
      <w:pPr>
        <w:tabs>
          <w:tab w:val="left" w:pos="2370"/>
        </w:tabs>
        <w:jc w:val="center"/>
        <w:rPr>
          <w:b/>
          <w:bCs/>
          <w:lang w:val="es-ES"/>
        </w:rPr>
      </w:pPr>
    </w:p>
    <w:p w14:paraId="5D7F10BF" w14:textId="24FF8A52" w:rsidR="00A77AE2" w:rsidRPr="00E17BBA" w:rsidRDefault="006D51F1" w:rsidP="00F54231">
      <w:pPr>
        <w:tabs>
          <w:tab w:val="left" w:pos="2370"/>
        </w:tabs>
        <w:jc w:val="center"/>
        <w:rPr>
          <w:b/>
          <w:bCs/>
          <w:lang w:val="es-ES"/>
        </w:rPr>
      </w:pPr>
      <w:proofErr w:type="spellStart"/>
      <w:r w:rsidRPr="00F72056">
        <w:rPr>
          <w:b/>
          <w:bCs/>
          <w:lang w:val="es-ES"/>
        </w:rPr>
        <w:lastRenderedPageBreak/>
        <w:t>References</w:t>
      </w:r>
      <w:proofErr w:type="spellEnd"/>
    </w:p>
    <w:p w14:paraId="6D0C642A" w14:textId="7EC3922C" w:rsidR="00F54231" w:rsidRPr="002721AF" w:rsidRDefault="00F54231" w:rsidP="00F54231">
      <w:pPr>
        <w:spacing w:before="240"/>
        <w:ind w:left="785" w:hanging="720"/>
        <w:rPr>
          <w:rFonts w:eastAsia="Calibri"/>
        </w:rPr>
      </w:pPr>
      <w:r w:rsidRPr="00E36671">
        <w:rPr>
          <w:rFonts w:eastAsia="Calibri"/>
          <w:lang w:val="es-ES"/>
        </w:rPr>
        <w:t xml:space="preserve">Aranda III, F. U., &amp; Hager, L. (2022). </w:t>
      </w:r>
      <w:r w:rsidRPr="004254D5">
        <w:rPr>
          <w:rFonts w:eastAsia="Calibri"/>
        </w:rPr>
        <w:t xml:space="preserve">Educational attainment through community cultural wealth: Narratives of Latino US congressmen. </w:t>
      </w:r>
      <w:r w:rsidRPr="004254D5">
        <w:rPr>
          <w:rFonts w:eastAsia="Calibri"/>
          <w:i/>
          <w:iCs/>
        </w:rPr>
        <w:t>Journal of Latinos and Education, 23</w:t>
      </w:r>
      <w:r w:rsidRPr="004254D5">
        <w:rPr>
          <w:rFonts w:eastAsia="Calibri"/>
        </w:rPr>
        <w:t>(1), 29</w:t>
      </w:r>
      <w:r w:rsidR="00307017">
        <w:rPr>
          <w:rFonts w:eastAsia="Calibri"/>
        </w:rPr>
        <w:t>-</w:t>
      </w:r>
      <w:r w:rsidRPr="004254D5">
        <w:rPr>
          <w:rFonts w:eastAsia="Calibri"/>
        </w:rPr>
        <w:t>45. https://doi.org/10.1080/15348431.2022.2104848</w:t>
      </w:r>
    </w:p>
    <w:p w14:paraId="0F6B95A6" w14:textId="77777777" w:rsidR="00F54231" w:rsidRDefault="00F54231" w:rsidP="00F54231">
      <w:pPr>
        <w:keepLines/>
        <w:ind w:left="720" w:hanging="720"/>
      </w:pPr>
    </w:p>
    <w:p w14:paraId="2D58B47B" w14:textId="77777777" w:rsidR="00F54231" w:rsidRDefault="00F54231" w:rsidP="00F54231">
      <w:pPr>
        <w:keepLines/>
        <w:ind w:left="720" w:hanging="720"/>
      </w:pPr>
      <w:r w:rsidRPr="00F54231">
        <w:rPr>
          <w:rFonts w:eastAsia="Arial"/>
          <w:iCs/>
          <w:color w:val="222222"/>
          <w:highlight w:val="white"/>
          <w:lang w:val="en-US"/>
        </w:rPr>
        <w:t xml:space="preserve">Balezentis, T., Morkunas, M., Volkov, A., </w:t>
      </w:r>
      <w:proofErr w:type="spellStart"/>
      <w:r w:rsidRPr="00F54231">
        <w:rPr>
          <w:rFonts w:eastAsia="Arial"/>
          <w:iCs/>
          <w:color w:val="222222"/>
          <w:highlight w:val="white"/>
          <w:lang w:val="en-US"/>
        </w:rPr>
        <w:t>Ribasauskiene</w:t>
      </w:r>
      <w:proofErr w:type="spellEnd"/>
      <w:r w:rsidRPr="00F54231">
        <w:rPr>
          <w:rFonts w:eastAsia="Arial"/>
          <w:iCs/>
          <w:color w:val="222222"/>
          <w:highlight w:val="white"/>
          <w:lang w:val="en-US"/>
        </w:rPr>
        <w:t xml:space="preserve">, E., &amp; </w:t>
      </w:r>
      <w:proofErr w:type="spellStart"/>
      <w:r w:rsidRPr="00F54231">
        <w:rPr>
          <w:rFonts w:eastAsia="Arial"/>
          <w:iCs/>
          <w:color w:val="222222"/>
          <w:highlight w:val="white"/>
          <w:lang w:val="en-US"/>
        </w:rPr>
        <w:t>Streimikiene</w:t>
      </w:r>
      <w:proofErr w:type="spellEnd"/>
      <w:r w:rsidRPr="00F54231">
        <w:rPr>
          <w:rFonts w:eastAsia="Arial"/>
          <w:iCs/>
          <w:color w:val="222222"/>
          <w:highlight w:val="white"/>
          <w:lang w:val="en-US"/>
        </w:rPr>
        <w:t xml:space="preserve">, D. (2021). </w:t>
      </w:r>
      <w:r w:rsidRPr="004254D5">
        <w:rPr>
          <w:rFonts w:eastAsia="Arial"/>
          <w:iCs/>
          <w:color w:val="222222"/>
          <w:highlight w:val="white"/>
        </w:rPr>
        <w:t>Are women neglected in the EU agriculture? Evidence from Lithuanian young farmers. </w:t>
      </w:r>
      <w:r w:rsidRPr="004254D5">
        <w:rPr>
          <w:rFonts w:eastAsia="Arial"/>
          <w:i/>
          <w:iCs/>
          <w:color w:val="222222"/>
          <w:highlight w:val="white"/>
        </w:rPr>
        <w:t>Land Use Policy, 101</w:t>
      </w:r>
      <w:r w:rsidRPr="004254D5">
        <w:rPr>
          <w:rFonts w:eastAsia="Arial"/>
          <w:iCs/>
          <w:color w:val="222222"/>
          <w:highlight w:val="white"/>
        </w:rPr>
        <w:t>, 105129. https://doi.org/10.1016/j.landusepol.2020.105129</w:t>
      </w:r>
    </w:p>
    <w:p w14:paraId="3F10AED9" w14:textId="77777777" w:rsidR="00F54231" w:rsidRPr="002E1033" w:rsidRDefault="00F54231" w:rsidP="00F54231">
      <w:pPr>
        <w:spacing w:before="240"/>
        <w:ind w:left="720" w:hanging="720"/>
        <w:rPr>
          <w:rFonts w:eastAsia="Arial"/>
          <w:iCs/>
          <w:color w:val="222222"/>
          <w:highlight w:val="white"/>
        </w:rPr>
      </w:pPr>
      <w:r w:rsidRPr="004254D5">
        <w:rPr>
          <w:rFonts w:eastAsia="Arial"/>
          <w:iCs/>
          <w:color w:val="222222"/>
          <w:highlight w:val="white"/>
        </w:rPr>
        <w:t>Baldwin, C., Smith, T., &amp; Jacobson, C. (2017). Love of the land: Social-ecological connectivity of rural landholders. </w:t>
      </w:r>
      <w:r w:rsidRPr="004254D5">
        <w:rPr>
          <w:rFonts w:eastAsia="Arial"/>
          <w:i/>
          <w:iCs/>
          <w:color w:val="222222"/>
          <w:highlight w:val="white"/>
        </w:rPr>
        <w:t>Journal of Rural Studies, 51</w:t>
      </w:r>
      <w:r w:rsidRPr="004254D5">
        <w:rPr>
          <w:rFonts w:eastAsia="Arial"/>
          <w:iCs/>
          <w:color w:val="222222"/>
          <w:highlight w:val="white"/>
        </w:rPr>
        <w:t>, 37–52. https://doi.org/10.1016/j.jrurstud.2017.01.012</w:t>
      </w:r>
    </w:p>
    <w:p w14:paraId="701A1EE1" w14:textId="77777777" w:rsidR="0052075D" w:rsidRPr="0052075D" w:rsidRDefault="0052075D" w:rsidP="0052075D">
      <w:pPr>
        <w:spacing w:before="240"/>
        <w:ind w:left="720" w:hanging="720"/>
        <w:rPr>
          <w:lang w:val="en-US"/>
        </w:rPr>
      </w:pPr>
      <w:r w:rsidRPr="00367D8B">
        <w:rPr>
          <w:lang w:val="en-US"/>
        </w:rPr>
        <w:t xml:space="preserve">Benbow, R. J., &amp; Hora, M. T. (2018). </w:t>
      </w:r>
      <w:r w:rsidRPr="0052075D">
        <w:rPr>
          <w:i/>
          <w:iCs/>
          <w:lang w:val="en-US"/>
        </w:rPr>
        <w:t>Reconsidering college student employability: A cultural analysis of educator and employer conceptions of workplace skills</w:t>
      </w:r>
      <w:r w:rsidRPr="0052075D">
        <w:rPr>
          <w:lang w:val="en-US"/>
        </w:rPr>
        <w:t>. Wisconsin Center for Education Research.</w:t>
      </w:r>
      <w:r w:rsidRPr="0052075D">
        <w:rPr>
          <w:lang w:val="en-US"/>
        </w:rPr>
        <w:br/>
        <w:t>https://par.nsf.gov/servlets/purl/10265860</w:t>
      </w:r>
    </w:p>
    <w:p w14:paraId="7E107E57" w14:textId="2FB8789A" w:rsidR="00F54231" w:rsidRPr="002E1033" w:rsidRDefault="00F54231" w:rsidP="00F54231">
      <w:pPr>
        <w:spacing w:before="240"/>
        <w:ind w:left="720" w:hanging="720"/>
      </w:pPr>
      <w:r w:rsidRPr="004254D5">
        <w:t>Braun, V., &amp; Clarke, V</w:t>
      </w:r>
      <w:r w:rsidRPr="004254D5">
        <w:rPr>
          <w:b/>
          <w:bCs/>
        </w:rPr>
        <w:t>.</w:t>
      </w:r>
      <w:r w:rsidRPr="004254D5">
        <w:t> (2006). Using thematic analysis in psychology. </w:t>
      </w:r>
      <w:r w:rsidRPr="004254D5">
        <w:rPr>
          <w:i/>
          <w:iCs/>
        </w:rPr>
        <w:t>Qualitative Research in Psychology, 3</w:t>
      </w:r>
      <w:r w:rsidRPr="004254D5">
        <w:t>(2), 77</w:t>
      </w:r>
      <w:r w:rsidR="00307017">
        <w:t>-</w:t>
      </w:r>
      <w:r w:rsidRPr="004254D5">
        <w:t>101. https://doi.org/10.1191/1478088706qp063oa</w:t>
      </w:r>
    </w:p>
    <w:p w14:paraId="44B5A3DA" w14:textId="77777777" w:rsidR="00322D95" w:rsidRDefault="00322D95" w:rsidP="007A0C48">
      <w:pPr>
        <w:keepLines/>
        <w:ind w:left="720" w:hanging="720"/>
      </w:pPr>
    </w:p>
    <w:p w14:paraId="78F90080" w14:textId="11FA26F8" w:rsidR="00F54231" w:rsidRDefault="00F54231" w:rsidP="007A0C48">
      <w:pPr>
        <w:keepLines/>
        <w:ind w:left="720" w:hanging="720"/>
      </w:pPr>
      <w:r w:rsidRPr="00373F7A">
        <w:t>Brown, A. R. (2018). </w:t>
      </w:r>
      <w:r w:rsidRPr="00373F7A">
        <w:rPr>
          <w:i/>
          <w:iCs/>
        </w:rPr>
        <w:t xml:space="preserve">Reframing </w:t>
      </w:r>
      <w:proofErr w:type="spellStart"/>
      <w:r w:rsidRPr="00373F7A">
        <w:rPr>
          <w:i/>
          <w:iCs/>
        </w:rPr>
        <w:t>AgriCULTURAL</w:t>
      </w:r>
      <w:proofErr w:type="spellEnd"/>
      <w:r w:rsidRPr="00373F7A">
        <w:rPr>
          <w:i/>
          <w:iCs/>
        </w:rPr>
        <w:t xml:space="preserve"> experiences, narratives, and careers for Black youth</w:t>
      </w:r>
      <w:r w:rsidRPr="00373F7A">
        <w:t> (Doctoral dissertation, Virginia Tech).</w:t>
      </w:r>
    </w:p>
    <w:p w14:paraId="673EB6DA" w14:textId="77777777" w:rsidR="00862AB4" w:rsidRDefault="00862AB4" w:rsidP="00862AB4">
      <w:pPr>
        <w:keepLines/>
        <w:ind w:left="720" w:hanging="720"/>
        <w:rPr>
          <w:lang w:val="en-US"/>
        </w:rPr>
      </w:pPr>
    </w:p>
    <w:p w14:paraId="44A1A904" w14:textId="3A6DBFAA" w:rsidR="00862AB4" w:rsidRPr="00862AB4" w:rsidRDefault="00862AB4" w:rsidP="00862AB4">
      <w:pPr>
        <w:keepLines/>
        <w:ind w:left="720" w:hanging="720"/>
        <w:rPr>
          <w:lang w:val="en-US"/>
        </w:rPr>
      </w:pPr>
      <w:r w:rsidRPr="00862AB4">
        <w:rPr>
          <w:lang w:val="en-US"/>
        </w:rPr>
        <w:t>Business</w:t>
      </w:r>
      <w:r w:rsidRPr="00862AB4">
        <w:rPr>
          <w:lang w:val="en-US"/>
        </w:rPr>
        <w:noBreakHyphen/>
        <w:t xml:space="preserve">Higher Education Forum. (2023). </w:t>
      </w:r>
      <w:r w:rsidRPr="00862AB4">
        <w:rPr>
          <w:i/>
          <w:iCs/>
          <w:lang w:val="en-US"/>
        </w:rPr>
        <w:t>Strengthening education–industry partnerships for workforce alignment</w:t>
      </w:r>
      <w:r w:rsidRPr="00862AB4">
        <w:rPr>
          <w:lang w:val="en-US"/>
        </w:rPr>
        <w:t>. https://www.bhef.com/</w:t>
      </w:r>
    </w:p>
    <w:p w14:paraId="0BF42F50" w14:textId="5BDFEC3A" w:rsidR="00F54231" w:rsidRDefault="00F54231" w:rsidP="00F54231">
      <w:pPr>
        <w:spacing w:before="240"/>
        <w:ind w:left="720" w:hanging="720"/>
      </w:pPr>
      <w:r w:rsidRPr="004254D5">
        <w:t xml:space="preserve">Clarke, M. (2018). Rethinking graduate employability: The role of capital, individual attributes and context. </w:t>
      </w:r>
      <w:r w:rsidRPr="004254D5">
        <w:rPr>
          <w:i/>
          <w:iCs/>
        </w:rPr>
        <w:t>Studies in Higher Education, 43</w:t>
      </w:r>
      <w:r w:rsidRPr="004254D5">
        <w:t xml:space="preserve">(11), 1923–1937. </w:t>
      </w:r>
      <w:r w:rsidR="00115D6E" w:rsidRPr="00115D6E">
        <w:t>https://doi.org/10.1080/03075079.2017.1294152</w:t>
      </w:r>
    </w:p>
    <w:p w14:paraId="56F24B04" w14:textId="6BC5229F" w:rsidR="00115D6E" w:rsidRDefault="00115D6E" w:rsidP="00115D6E">
      <w:pPr>
        <w:spacing w:before="240"/>
        <w:ind w:left="720" w:hanging="720"/>
      </w:pPr>
      <w:r w:rsidRPr="004254D5">
        <w:t xml:space="preserve">Clark, Q. M., Knobloch, N. A., Esters, L. T., &amp; Brown, B. R. (2021). Broadening participation in agricultural sciences through a STEM intervention program. </w:t>
      </w:r>
      <w:r w:rsidRPr="004254D5">
        <w:rPr>
          <w:i/>
        </w:rPr>
        <w:t>Journal of Agricultural Education, 62</w:t>
      </w:r>
      <w:r w:rsidRPr="004254D5">
        <w:t>(2), 27</w:t>
      </w:r>
      <w:r w:rsidR="00307017">
        <w:t>-</w:t>
      </w:r>
      <w:r w:rsidRPr="004254D5">
        <w:t>38. https://doi.org/10.5032/jae.2021.02027</w:t>
      </w:r>
    </w:p>
    <w:p w14:paraId="31C7C5DD" w14:textId="77777777" w:rsidR="00F54231" w:rsidRPr="002E1033" w:rsidRDefault="00F54231" w:rsidP="00F54231">
      <w:pPr>
        <w:spacing w:before="240"/>
        <w:ind w:left="720" w:hanging="720"/>
      </w:pPr>
      <w:r w:rsidRPr="004254D5">
        <w:t>Colclasure, B. (2020). Entry-Level Workplace Competencies Needed by Graduates of a Community College Agriculture Program: A Midwest Case Study Using the Delphi Technique.</w:t>
      </w:r>
      <w:r w:rsidRPr="004254D5">
        <w:rPr>
          <w:i/>
        </w:rPr>
        <w:t xml:space="preserve"> Journal of Research in Technical Careers, 4</w:t>
      </w:r>
      <w:r w:rsidRPr="004254D5">
        <w:t xml:space="preserve">(2), 3.  </w:t>
      </w:r>
      <w:r w:rsidRPr="002E1033">
        <w:t>https://doi.org/10.9741/2578-2118.1083</w:t>
      </w:r>
    </w:p>
    <w:p w14:paraId="57FE72CB" w14:textId="77777777" w:rsidR="00F54231" w:rsidRPr="004254D5" w:rsidRDefault="00F54231" w:rsidP="00F54231">
      <w:pPr>
        <w:spacing w:before="240"/>
        <w:ind w:left="720" w:hanging="720"/>
        <w:rPr>
          <w:color w:val="FF0000"/>
        </w:rPr>
      </w:pPr>
      <w:r w:rsidRPr="004254D5">
        <w:t>Crawford, P., &amp; Fink, W. (2020). </w:t>
      </w:r>
      <w:r w:rsidRPr="004254D5">
        <w:rPr>
          <w:i/>
          <w:iCs/>
        </w:rPr>
        <w:t>Employability skills and students’ critical growth areas</w:t>
      </w:r>
      <w:r w:rsidRPr="004254D5">
        <w:t>. </w:t>
      </w:r>
      <w:r w:rsidRPr="004254D5">
        <w:rPr>
          <w:i/>
          <w:iCs/>
        </w:rPr>
        <w:t>NACTA Journal, 64</w:t>
      </w:r>
      <w:r w:rsidRPr="004254D5">
        <w:t>, 132–141. https://www.jstor.org/stable/27157784</w:t>
      </w:r>
    </w:p>
    <w:p w14:paraId="5786C8D6" w14:textId="77777777" w:rsidR="00F54231" w:rsidRDefault="00F54231" w:rsidP="00F54231">
      <w:pPr>
        <w:spacing w:before="240"/>
        <w:ind w:left="720" w:hanging="720"/>
        <w:rPr>
          <w:color w:val="000000"/>
        </w:rPr>
      </w:pPr>
      <w:r w:rsidRPr="004254D5">
        <w:rPr>
          <w:color w:val="000000"/>
        </w:rPr>
        <w:t xml:space="preserve">Creswell, J. (2013). </w:t>
      </w:r>
      <w:r w:rsidRPr="004254D5">
        <w:rPr>
          <w:i/>
          <w:color w:val="000000"/>
        </w:rPr>
        <w:t>Qualitative inquiry &amp; research design: Choosing among five approaches</w:t>
      </w:r>
      <w:r w:rsidRPr="004254D5">
        <w:rPr>
          <w:color w:val="000000"/>
        </w:rPr>
        <w:t xml:space="preserve"> (3rd ed.). Sage.</w:t>
      </w:r>
    </w:p>
    <w:p w14:paraId="68D39394" w14:textId="77777777" w:rsidR="00F54231" w:rsidRPr="002E1033" w:rsidRDefault="00F54231" w:rsidP="00F54231">
      <w:pPr>
        <w:spacing w:before="240"/>
        <w:ind w:left="720" w:hanging="720"/>
      </w:pPr>
      <w:r w:rsidRPr="002E1033">
        <w:lastRenderedPageBreak/>
        <w:t>Creswell, J. W., &amp; Plano Clark, V. L. (2018). </w:t>
      </w:r>
      <w:r w:rsidRPr="002E1033">
        <w:rPr>
          <w:i/>
          <w:iCs/>
        </w:rPr>
        <w:t>Designing and conducting mixed methods research</w:t>
      </w:r>
      <w:r w:rsidRPr="002E1033">
        <w:t> (3rd ed.). SAGE.</w:t>
      </w:r>
    </w:p>
    <w:p w14:paraId="38885105" w14:textId="1150266C" w:rsidR="00401481" w:rsidRDefault="00F54231" w:rsidP="00401481">
      <w:pPr>
        <w:spacing w:before="240"/>
        <w:ind w:left="720" w:hanging="720"/>
      </w:pPr>
      <w:proofErr w:type="spellStart"/>
      <w:r w:rsidRPr="002E1033">
        <w:t>Cropps</w:t>
      </w:r>
      <w:proofErr w:type="spellEnd"/>
      <w:r w:rsidRPr="002E1033">
        <w:t>,</w:t>
      </w:r>
      <w:r w:rsidRPr="002E1033">
        <w:rPr>
          <w:b/>
          <w:bCs/>
        </w:rPr>
        <w:t xml:space="preserve"> </w:t>
      </w:r>
      <w:r w:rsidRPr="002E1033">
        <w:t>T. A. </w:t>
      </w:r>
      <w:r w:rsidRPr="00E847DC">
        <w:t xml:space="preserve">(2023). </w:t>
      </w:r>
      <w:r w:rsidRPr="002E1033">
        <w:t xml:space="preserve">Black doctoral </w:t>
      </w:r>
      <w:r w:rsidRPr="004254D5">
        <w:t>women’s socialization experiences in agricultural science and education departments. </w:t>
      </w:r>
      <w:r w:rsidRPr="004254D5">
        <w:rPr>
          <w:i/>
          <w:iCs/>
        </w:rPr>
        <w:t>Studies in Graduate and Postdoctoral Education, 14</w:t>
      </w:r>
      <w:r w:rsidRPr="004254D5">
        <w:t>(3), 294–314. </w:t>
      </w:r>
      <w:r w:rsidR="00DA52C5" w:rsidRPr="00802120">
        <w:t>https://doi.org/10.1108/SGPE-03-2022-0021</w:t>
      </w:r>
    </w:p>
    <w:p w14:paraId="15B22482" w14:textId="77777777" w:rsidR="00401481" w:rsidRDefault="00F54231" w:rsidP="00401481">
      <w:pPr>
        <w:spacing w:before="240"/>
        <w:ind w:left="720" w:hanging="720"/>
      </w:pPr>
      <w:r w:rsidRPr="004254D5">
        <w:rPr>
          <w:color w:val="000000"/>
        </w:rPr>
        <w:t xml:space="preserve">Dortch, D., &amp; Patel, C. (2017). Black Undergraduate Women and Their Sense of Belonging in STEM at Predominantly White Institutions. </w:t>
      </w:r>
      <w:r w:rsidRPr="004254D5">
        <w:rPr>
          <w:i/>
          <w:color w:val="000000"/>
        </w:rPr>
        <w:t>NASPA Journal About Women in Higher Education.</w:t>
      </w:r>
      <w:r w:rsidRPr="004254D5">
        <w:rPr>
          <w:color w:val="000000"/>
        </w:rPr>
        <w:t xml:space="preserve"> </w:t>
      </w:r>
      <w:r w:rsidRPr="004254D5">
        <w:rPr>
          <w:i/>
          <w:color w:val="000000"/>
        </w:rPr>
        <w:t>10</w:t>
      </w:r>
      <w:r w:rsidRPr="004254D5">
        <w:rPr>
          <w:color w:val="000000"/>
        </w:rPr>
        <w:t xml:space="preserve">(2). </w:t>
      </w:r>
      <w:hyperlink r:id="rId9">
        <w:r w:rsidRPr="004254D5">
          <w:rPr>
            <w:color w:val="000000"/>
          </w:rPr>
          <w:t>https://doi.org/10.1080/19407882.2017.1331854</w:t>
        </w:r>
      </w:hyperlink>
      <w:r w:rsidRPr="004254D5">
        <w:t xml:space="preserve"> </w:t>
      </w:r>
    </w:p>
    <w:p w14:paraId="0055AE08" w14:textId="18771D91" w:rsidR="00CA4283" w:rsidRDefault="00CA4283" w:rsidP="00CA4283">
      <w:pPr>
        <w:spacing w:before="240"/>
        <w:ind w:left="720" w:hanging="720"/>
        <w:rPr>
          <w:lang w:val="en-US"/>
        </w:rPr>
      </w:pPr>
      <w:r w:rsidRPr="004254D5">
        <w:t xml:space="preserve">Eimer, A., &amp; Bohndick, C. (2023). Employability models for higher education: A systematic literature review and analysis. </w:t>
      </w:r>
      <w:r w:rsidRPr="004254D5">
        <w:rPr>
          <w:i/>
        </w:rPr>
        <w:t>Social Sciences &amp; Humanities Open, 8</w:t>
      </w:r>
      <w:r w:rsidRPr="004254D5">
        <w:t xml:space="preserve">(1), 100588. </w:t>
      </w:r>
      <w:r w:rsidRPr="00942112">
        <w:rPr>
          <w:lang w:val="en-US"/>
        </w:rPr>
        <w:t>https://doi.org/10.1016/j.ssaho.2023.100588</w:t>
      </w:r>
    </w:p>
    <w:p w14:paraId="0839A57B" w14:textId="4A5C1B26" w:rsidR="00CA4283" w:rsidRPr="00E847DC" w:rsidRDefault="00E847DC" w:rsidP="00E847DC">
      <w:pPr>
        <w:spacing w:before="240"/>
        <w:ind w:left="720" w:hanging="720"/>
        <w:rPr>
          <w:lang w:val="en-US"/>
        </w:rPr>
      </w:pPr>
      <w:r w:rsidRPr="00367D8B">
        <w:rPr>
          <w:lang w:val="en-US"/>
        </w:rPr>
        <w:t>Ellis</w:t>
      </w:r>
      <w:r w:rsidRPr="00367D8B">
        <w:rPr>
          <w:lang w:val="en-US"/>
        </w:rPr>
        <w:noBreakHyphen/>
        <w:t>Robinson, T., &amp; Wayde</w:t>
      </w:r>
      <w:r w:rsidRPr="00367D8B">
        <w:rPr>
          <w:lang w:val="en-US"/>
        </w:rPr>
        <w:noBreakHyphen/>
        <w:t xml:space="preserve">Coles, J. (2021). </w:t>
      </w:r>
      <w:r w:rsidRPr="00E847DC">
        <w:rPr>
          <w:lang w:val="en-US"/>
        </w:rPr>
        <w:t xml:space="preserve">School, university, and community collaboration to promote equity through inclusive cultural competence. </w:t>
      </w:r>
      <w:r w:rsidRPr="00E847DC">
        <w:rPr>
          <w:i/>
          <w:iCs/>
          <w:lang w:val="en-US"/>
        </w:rPr>
        <w:t>Education Policy Analysis Archives, 29</w:t>
      </w:r>
      <w:r w:rsidRPr="00E847DC">
        <w:rPr>
          <w:lang w:val="en-US"/>
        </w:rPr>
        <w:t>(44). https://doi.org/10.14507/epaa.29.4670</w:t>
      </w:r>
    </w:p>
    <w:p w14:paraId="4F7EEF49" w14:textId="73246668" w:rsidR="00401481" w:rsidRDefault="00F54231" w:rsidP="00401481">
      <w:pPr>
        <w:spacing w:before="240"/>
        <w:ind w:left="720" w:hanging="720"/>
      </w:pPr>
      <w:r w:rsidRPr="004254D5">
        <w:rPr>
          <w:color w:val="000000"/>
        </w:rPr>
        <w:t xml:space="preserve">Erickson, B., Fausti, S., </w:t>
      </w:r>
      <w:r w:rsidRPr="004254D5">
        <w:t>Clay, D., &amp; Clay, S. (2018). Knowledge, skills, and abilities in the precision agriculture workforce: an industry survey. </w:t>
      </w:r>
      <w:r w:rsidRPr="004254D5">
        <w:rPr>
          <w:i/>
        </w:rPr>
        <w:t>Natural Sciences Education</w:t>
      </w:r>
      <w:r w:rsidRPr="004254D5">
        <w:t>, </w:t>
      </w:r>
      <w:r w:rsidRPr="004254D5">
        <w:rPr>
          <w:i/>
        </w:rPr>
        <w:t>47</w:t>
      </w:r>
      <w:r w:rsidRPr="004254D5">
        <w:t xml:space="preserve">(1), 1-11. </w:t>
      </w:r>
      <w:r w:rsidR="00401481" w:rsidRPr="00802120">
        <w:t>https://doi.org/10.4195/nse2018.04.0010</w:t>
      </w:r>
    </w:p>
    <w:p w14:paraId="38CE81CC" w14:textId="3AC2D73D" w:rsidR="00F54231" w:rsidRPr="00F72056" w:rsidRDefault="00F54231" w:rsidP="00401481">
      <w:pPr>
        <w:spacing w:before="240"/>
        <w:ind w:left="720" w:hanging="720"/>
        <w:rPr>
          <w:lang w:val="en-US"/>
        </w:rPr>
      </w:pPr>
      <w:r w:rsidRPr="004254D5">
        <w:t>Food and Agriculture Organization of the United Nations. (2023, October 15). </w:t>
      </w:r>
      <w:r w:rsidRPr="004254D5">
        <w:rPr>
          <w:i/>
          <w:iCs/>
        </w:rPr>
        <w:t>FAO Statistics Database</w:t>
      </w:r>
      <w:r w:rsidRPr="004254D5">
        <w:t>. </w:t>
      </w:r>
      <w:r w:rsidR="000A69F1" w:rsidRPr="00942112">
        <w:rPr>
          <w:lang w:val="en-US"/>
        </w:rPr>
        <w:t>http://faostat.fao.org/default.htm</w:t>
      </w:r>
    </w:p>
    <w:p w14:paraId="4FA23050" w14:textId="226225DD" w:rsidR="00043E66" w:rsidRPr="00043E66" w:rsidRDefault="00043E66" w:rsidP="00043E66">
      <w:pPr>
        <w:spacing w:before="240"/>
        <w:ind w:left="720" w:hanging="720"/>
      </w:pPr>
      <w:r w:rsidRPr="00043E66">
        <w:rPr>
          <w:lang w:val="en-US"/>
        </w:rPr>
        <w:t>Fischer, A. (2022). </w:t>
      </w:r>
      <w:r w:rsidRPr="004254D5">
        <w:t>Challenges and opportunities in reskilling and upskilling. In H. Gruenewald &amp; M. Mueller (Eds.), </w:t>
      </w:r>
      <w:r w:rsidRPr="004254D5">
        <w:rPr>
          <w:i/>
          <w:iCs/>
        </w:rPr>
        <w:t>Reskilling and Upskilling in a Globalized Economy</w:t>
      </w:r>
      <w:r w:rsidRPr="004254D5">
        <w:t> (pp. 167–201). Springer. https://doi.org/10.1007/978-3-658-48384-5_7</w:t>
      </w:r>
    </w:p>
    <w:p w14:paraId="36DD9C4C" w14:textId="77777777" w:rsidR="00043E66" w:rsidRDefault="00043E66" w:rsidP="003E7455">
      <w:pPr>
        <w:ind w:left="720" w:hanging="720"/>
        <w:rPr>
          <w:lang w:val="en-US"/>
        </w:rPr>
      </w:pPr>
    </w:p>
    <w:p w14:paraId="535685AF" w14:textId="1C2447A7" w:rsidR="000A69F1" w:rsidRPr="00401481" w:rsidRDefault="000A69F1" w:rsidP="003E7455">
      <w:pPr>
        <w:ind w:left="720" w:hanging="720"/>
      </w:pPr>
      <w:r w:rsidRPr="00F72056">
        <w:rPr>
          <w:lang w:val="en-US"/>
        </w:rPr>
        <w:t xml:space="preserve">Garcia, E., et al. </w:t>
      </w:r>
      <w:r w:rsidRPr="002841DE">
        <w:t>(2024). </w:t>
      </w:r>
      <w:r w:rsidRPr="002841DE">
        <w:rPr>
          <w:i/>
          <w:iCs/>
        </w:rPr>
        <w:t>Examining educational and career transition points among STEMM students: The role of mentoring networks</w:t>
      </w:r>
    </w:p>
    <w:p w14:paraId="5EA513CA" w14:textId="7E912376" w:rsidR="0010680F" w:rsidRPr="0010680F" w:rsidRDefault="0010680F" w:rsidP="00BF4B36">
      <w:pPr>
        <w:spacing w:before="240"/>
        <w:ind w:left="720" w:hanging="720"/>
        <w:rPr>
          <w:iCs/>
          <w:lang w:val="en-US"/>
        </w:rPr>
      </w:pPr>
      <w:proofErr w:type="spellStart"/>
      <w:r w:rsidRPr="0010680F">
        <w:rPr>
          <w:iCs/>
          <w:lang w:val="es-ES"/>
        </w:rPr>
        <w:t>Girdziute</w:t>
      </w:r>
      <w:proofErr w:type="spellEnd"/>
      <w:r w:rsidRPr="0010680F">
        <w:rPr>
          <w:iCs/>
          <w:lang w:val="es-ES"/>
        </w:rPr>
        <w:t xml:space="preserve">, L., </w:t>
      </w:r>
      <w:proofErr w:type="spellStart"/>
      <w:r w:rsidRPr="0010680F">
        <w:rPr>
          <w:iCs/>
          <w:lang w:val="es-ES"/>
        </w:rPr>
        <w:t>Besuspariene</w:t>
      </w:r>
      <w:proofErr w:type="spellEnd"/>
      <w:r w:rsidRPr="0010680F">
        <w:rPr>
          <w:iCs/>
          <w:lang w:val="es-ES"/>
        </w:rPr>
        <w:t xml:space="preserve">, E., </w:t>
      </w:r>
      <w:proofErr w:type="spellStart"/>
      <w:r w:rsidRPr="0010680F">
        <w:rPr>
          <w:iCs/>
          <w:lang w:val="es-ES"/>
        </w:rPr>
        <w:t>Nausediene</w:t>
      </w:r>
      <w:proofErr w:type="spellEnd"/>
      <w:r w:rsidRPr="0010680F">
        <w:rPr>
          <w:iCs/>
          <w:lang w:val="es-ES"/>
        </w:rPr>
        <w:t xml:space="preserve">, A., Novikova, A., Leppala, J., &amp; Jakob, M. (2022). </w:t>
      </w:r>
      <w:r w:rsidRPr="0010680F">
        <w:rPr>
          <w:iCs/>
          <w:lang w:val="en-US"/>
        </w:rPr>
        <w:t xml:space="preserve">Youth's (Un)willingness to work in agriculture sector. </w:t>
      </w:r>
      <w:r w:rsidRPr="0010680F">
        <w:rPr>
          <w:i/>
          <w:iCs/>
          <w:lang w:val="en-US"/>
        </w:rPr>
        <w:t>Frontiers in Public Health, 10</w:t>
      </w:r>
      <w:r w:rsidRPr="0010680F">
        <w:rPr>
          <w:iCs/>
          <w:lang w:val="en-US"/>
        </w:rPr>
        <w:t>, 937657. https://doi.org/10.3389/fpubh.2022.937657</w:t>
      </w:r>
    </w:p>
    <w:p w14:paraId="39702D01" w14:textId="388BB6FA" w:rsidR="00F54231" w:rsidRPr="00F54231" w:rsidRDefault="00F54231" w:rsidP="00F54231">
      <w:pPr>
        <w:spacing w:before="240"/>
        <w:ind w:left="720" w:hanging="720"/>
        <w:rPr>
          <w:lang w:val="fr-FR"/>
        </w:rPr>
      </w:pPr>
      <w:r w:rsidRPr="004254D5">
        <w:t>Glesne, C. (2016). </w:t>
      </w:r>
      <w:r w:rsidRPr="004254D5">
        <w:rPr>
          <w:i/>
        </w:rPr>
        <w:t>Becoming qualitative researchers: An introduction</w:t>
      </w:r>
      <w:r w:rsidRPr="004254D5">
        <w:t xml:space="preserve">. </w:t>
      </w:r>
      <w:r w:rsidRPr="00F54231">
        <w:rPr>
          <w:lang w:val="fr-FR"/>
        </w:rPr>
        <w:t>Pearson. </w:t>
      </w:r>
    </w:p>
    <w:p w14:paraId="1F7B4653" w14:textId="1C12EE38" w:rsidR="00F54231" w:rsidRPr="0045768A" w:rsidRDefault="00F54231" w:rsidP="00F54231">
      <w:pPr>
        <w:spacing w:before="240"/>
        <w:ind w:left="720" w:hanging="720"/>
      </w:pPr>
      <w:r w:rsidRPr="00AF09AB">
        <w:rPr>
          <w:lang w:val="fr-FR"/>
        </w:rPr>
        <w:t xml:space="preserve">Goulart, V. G., </w:t>
      </w:r>
      <w:proofErr w:type="spellStart"/>
      <w:r w:rsidRPr="00AF09AB">
        <w:rPr>
          <w:lang w:val="fr-FR"/>
        </w:rPr>
        <w:t>Liboni</w:t>
      </w:r>
      <w:proofErr w:type="spellEnd"/>
      <w:r w:rsidRPr="00AF09AB">
        <w:rPr>
          <w:lang w:val="fr-FR"/>
        </w:rPr>
        <w:t xml:space="preserve">, L. B., &amp; </w:t>
      </w:r>
      <w:proofErr w:type="spellStart"/>
      <w:r w:rsidRPr="00AF09AB">
        <w:rPr>
          <w:lang w:val="fr-FR"/>
        </w:rPr>
        <w:t>Cezarino</w:t>
      </w:r>
      <w:proofErr w:type="spellEnd"/>
      <w:r w:rsidRPr="00AF09AB">
        <w:rPr>
          <w:lang w:val="fr-FR"/>
        </w:rPr>
        <w:t xml:space="preserve">, L. O. (2022). </w:t>
      </w:r>
      <w:r w:rsidRPr="004254D5">
        <w:t xml:space="preserve">Balancing skills in the digital transformation era: The future of jobs and the role of higher education. </w:t>
      </w:r>
      <w:r w:rsidRPr="004254D5">
        <w:rPr>
          <w:i/>
        </w:rPr>
        <w:t>Industry and Higher Education, 36</w:t>
      </w:r>
      <w:r w:rsidRPr="004254D5">
        <w:t>(2), 118</w:t>
      </w:r>
      <w:r w:rsidR="00401481">
        <w:t>–</w:t>
      </w:r>
      <w:r w:rsidRPr="004254D5">
        <w:t>127. https://doi.org/10.1177/09504222211029796</w:t>
      </w:r>
    </w:p>
    <w:p w14:paraId="57459227" w14:textId="7EB5B6AB" w:rsidR="00F54231" w:rsidRDefault="00F54231" w:rsidP="00F54231">
      <w:pPr>
        <w:spacing w:before="240"/>
        <w:ind w:left="720" w:hanging="720"/>
      </w:pPr>
      <w:r w:rsidRPr="004254D5">
        <w:t xml:space="preserve">Harper, D. (2002). Talking about pictures: A case for photo elicitation. </w:t>
      </w:r>
      <w:r w:rsidRPr="004254D5">
        <w:rPr>
          <w:i/>
        </w:rPr>
        <w:t>Visual Studies, 17</w:t>
      </w:r>
      <w:r w:rsidRPr="004254D5">
        <w:t>(1), 13</w:t>
      </w:r>
      <w:r w:rsidR="00401481">
        <w:t>–</w:t>
      </w:r>
      <w:r w:rsidRPr="004254D5">
        <w:t xml:space="preserve">26. </w:t>
      </w:r>
      <w:r w:rsidR="001A04DD" w:rsidRPr="001A04DD">
        <w:t>https://doi.org/10.1080/14725860220137345</w:t>
      </w:r>
    </w:p>
    <w:p w14:paraId="0765B4BD" w14:textId="7A7407B7" w:rsidR="001A04DD" w:rsidRPr="004254D5" w:rsidRDefault="001A04DD" w:rsidP="001A04DD">
      <w:pPr>
        <w:spacing w:before="240"/>
        <w:ind w:left="720" w:hanging="720"/>
      </w:pPr>
      <w:proofErr w:type="spellStart"/>
      <w:r w:rsidRPr="00AD5DB7">
        <w:t>Haverroth</w:t>
      </w:r>
      <w:proofErr w:type="spellEnd"/>
      <w:r w:rsidRPr="00AD5DB7">
        <w:t xml:space="preserve">, E., Gobble, M., Bradley, L., Harris-Gilliam, K., Fischer, A., Williams, C., Long, T., &amp; </w:t>
      </w:r>
      <w:proofErr w:type="spellStart"/>
      <w:r w:rsidRPr="00AD5DB7">
        <w:t>Sozzani</w:t>
      </w:r>
      <w:proofErr w:type="spellEnd"/>
      <w:r w:rsidRPr="00AD5DB7">
        <w:t xml:space="preserve">, R. (2024). The Black American experience: Answering the global challenge </w:t>
      </w:r>
      <w:r w:rsidRPr="00AD5DB7">
        <w:lastRenderedPageBreak/>
        <w:t xml:space="preserve">of broadening participation in STEM/agriculture. </w:t>
      </w:r>
      <w:r w:rsidRPr="00AD5DB7">
        <w:rPr>
          <w:i/>
        </w:rPr>
        <w:t>The Plant Cell, 36</w:t>
      </w:r>
      <w:r w:rsidRPr="00AD5DB7">
        <w:t>(4), 807–811. https://doi.org/10.1093/plcell/koae002</w:t>
      </w:r>
    </w:p>
    <w:p w14:paraId="61DB1745" w14:textId="0827E0ED" w:rsidR="001A04DD" w:rsidRDefault="00F54231" w:rsidP="001A04DD">
      <w:pPr>
        <w:spacing w:before="240"/>
        <w:ind w:left="720" w:hanging="720"/>
      </w:pPr>
      <w:r w:rsidRPr="00F72056">
        <w:rPr>
          <w:lang w:val="en-US"/>
        </w:rPr>
        <w:t xml:space="preserve">Hendrix, R., &amp; Morrison, C. C. (2018). </w:t>
      </w:r>
      <w:r w:rsidRPr="00AD5DB7">
        <w:t xml:space="preserve">Student perceptions of workforce readiness in agriculture. </w:t>
      </w:r>
      <w:r w:rsidRPr="00AD5DB7">
        <w:rPr>
          <w:i/>
        </w:rPr>
        <w:t>Journal of Agricultural Education, 59</w:t>
      </w:r>
      <w:r w:rsidRPr="00AD5DB7">
        <w:t>(3), 213</w:t>
      </w:r>
      <w:r w:rsidR="00401481">
        <w:t>–</w:t>
      </w:r>
      <w:r w:rsidRPr="00AD5DB7">
        <w:t xml:space="preserve">228. </w:t>
      </w:r>
      <w:r w:rsidR="001749E7" w:rsidRPr="00D82EEA">
        <w:t>https://doi.org/10.5032/jae.2018.03213</w:t>
      </w:r>
    </w:p>
    <w:p w14:paraId="276878FD" w14:textId="4D7A8EB6" w:rsidR="001749E7" w:rsidRDefault="001749E7" w:rsidP="001749E7">
      <w:pPr>
        <w:spacing w:before="240"/>
        <w:ind w:left="720" w:hanging="720"/>
      </w:pPr>
      <w:r w:rsidRPr="00402F56">
        <w:rPr>
          <w:lang w:val="en-US"/>
        </w:rPr>
        <w:t>Hora, M. T., Benbow, R. J., &amp; Smolarek, B</w:t>
      </w:r>
      <w:r w:rsidRPr="00573B1B">
        <w:rPr>
          <w:lang w:val="en-US"/>
        </w:rPr>
        <w:t>. B. (2024). </w:t>
      </w:r>
      <w:r w:rsidRPr="004254D5">
        <w:rPr>
          <w:i/>
          <w:iCs/>
        </w:rPr>
        <w:t xml:space="preserve">Integrative review of </w:t>
      </w:r>
      <w:proofErr w:type="gramStart"/>
      <w:r w:rsidRPr="004254D5">
        <w:rPr>
          <w:i/>
          <w:iCs/>
        </w:rPr>
        <w:t>the employability</w:t>
      </w:r>
      <w:proofErr w:type="gramEnd"/>
      <w:r w:rsidRPr="004254D5">
        <w:rPr>
          <w:i/>
          <w:iCs/>
        </w:rPr>
        <w:t xml:space="preserve"> literature</w:t>
      </w:r>
      <w:r w:rsidRPr="004254D5">
        <w:t>. Center for Research on College-Workforce Transitions, University of Wisconsin–Madison. https://ccwt.wisc.edu/wp-content/uploads/2024/04/202404-RESEARCH-REPORT-Integrative-Review-Employability-Literature-Hora-et-al.pdf</w:t>
      </w:r>
    </w:p>
    <w:p w14:paraId="27C88C14" w14:textId="5E4E52B4" w:rsidR="00A2395F" w:rsidRDefault="00A2395F" w:rsidP="00802120">
      <w:pPr>
        <w:spacing w:before="240"/>
        <w:ind w:left="720" w:hanging="720"/>
      </w:pPr>
      <w:r w:rsidRPr="00A2395F">
        <w:t xml:space="preserve">Jackson-Cole, D., &amp; </w:t>
      </w:r>
      <w:proofErr w:type="spellStart"/>
      <w:r w:rsidRPr="00A2395F">
        <w:t>Chadderton</w:t>
      </w:r>
      <w:proofErr w:type="spellEnd"/>
      <w:r w:rsidRPr="00A2395F">
        <w:t xml:space="preserve">, C. (2025). </w:t>
      </w:r>
      <w:proofErr w:type="spellStart"/>
      <w:r w:rsidRPr="00A2395F">
        <w:t>Minoritised</w:t>
      </w:r>
      <w:proofErr w:type="spellEnd"/>
      <w:r w:rsidRPr="00A2395F">
        <w:t xml:space="preserve"> students navigating postgraduate education in England’s elite universities: </w:t>
      </w:r>
      <w:proofErr w:type="spellStart"/>
      <w:r w:rsidRPr="00A2395F">
        <w:t>Yosso’s</w:t>
      </w:r>
      <w:proofErr w:type="spellEnd"/>
      <w:r w:rsidRPr="00A2395F">
        <w:t xml:space="preserve"> Community Cultural Wealth framework adapted for the UK. </w:t>
      </w:r>
      <w:r w:rsidRPr="00A2395F">
        <w:rPr>
          <w:i/>
          <w:iCs/>
        </w:rPr>
        <w:t>Race Ethnicity and Education</w:t>
      </w:r>
      <w:r w:rsidRPr="00A2395F">
        <w:t>, 1–20. https://doi.org/10.1080/13613324.2025.2509080</w:t>
      </w:r>
    </w:p>
    <w:p w14:paraId="28BDDDB9" w14:textId="51071685" w:rsidR="00F54231" w:rsidRDefault="00F54231" w:rsidP="00401481">
      <w:pPr>
        <w:spacing w:before="240"/>
        <w:ind w:left="720" w:hanging="720"/>
      </w:pPr>
      <w:r w:rsidRPr="004254D5">
        <w:t>Javaid, M., Haleem, A., Singh, R. P., &amp; Suman, R. (2022). </w:t>
      </w:r>
      <w:r w:rsidRPr="004254D5">
        <w:rPr>
          <w:i/>
          <w:iCs/>
        </w:rPr>
        <w:t>Enhancing smart farming through the applications of Agriculture 4.0 technologies</w:t>
      </w:r>
      <w:r w:rsidRPr="004254D5">
        <w:t>. </w:t>
      </w:r>
      <w:r w:rsidRPr="004254D5">
        <w:rPr>
          <w:i/>
          <w:iCs/>
        </w:rPr>
        <w:t>International Journal of Intelligent Networks, 3</w:t>
      </w:r>
      <w:r w:rsidRPr="004254D5">
        <w:t>, 150–164. https://doi.org/10.1016/j.ijin.2022.09.004</w:t>
      </w:r>
    </w:p>
    <w:p w14:paraId="16EFD767" w14:textId="28CB153A" w:rsidR="00F54231" w:rsidRDefault="00F54231" w:rsidP="00F54231">
      <w:pPr>
        <w:spacing w:before="240"/>
        <w:ind w:left="720" w:hanging="720"/>
      </w:pPr>
      <w:r w:rsidRPr="004254D5">
        <w:t xml:space="preserve">Jones, W. A., LaVergne, D. D., White Sr, C. D., &amp; Larke Jr, A. (2021). The </w:t>
      </w:r>
      <w:r w:rsidR="00527C2B">
        <w:t>v</w:t>
      </w:r>
      <w:r w:rsidRPr="004254D5">
        <w:t xml:space="preserve">oices of </w:t>
      </w:r>
      <w:proofErr w:type="spellStart"/>
      <w:r w:rsidR="00527C2B">
        <w:t>a</w:t>
      </w:r>
      <w:r w:rsidRPr="004254D5">
        <w:t>frican</w:t>
      </w:r>
      <w:proofErr w:type="spellEnd"/>
      <w:r w:rsidRPr="004254D5">
        <w:t xml:space="preserve"> </w:t>
      </w:r>
      <w:proofErr w:type="spellStart"/>
      <w:r w:rsidR="00527C2B">
        <w:t>a</w:t>
      </w:r>
      <w:r w:rsidRPr="004254D5">
        <w:t>merican</w:t>
      </w:r>
      <w:proofErr w:type="spellEnd"/>
      <w:r w:rsidRPr="004254D5">
        <w:t xml:space="preserve"> </w:t>
      </w:r>
      <w:r w:rsidR="00527C2B">
        <w:t>a</w:t>
      </w:r>
      <w:r w:rsidRPr="004254D5">
        <w:t xml:space="preserve">griculture </w:t>
      </w:r>
      <w:r w:rsidR="00527C2B">
        <w:t>t</w:t>
      </w:r>
      <w:r w:rsidRPr="004254D5">
        <w:t xml:space="preserve">eachers in </w:t>
      </w:r>
      <w:r w:rsidR="00527C2B">
        <w:t>o</w:t>
      </w:r>
      <w:r w:rsidRPr="004254D5">
        <w:t xml:space="preserve">ne </w:t>
      </w:r>
      <w:r w:rsidR="00527C2B">
        <w:t>s</w:t>
      </w:r>
      <w:r w:rsidRPr="004254D5">
        <w:t xml:space="preserve">outhern </w:t>
      </w:r>
      <w:r w:rsidR="00527C2B">
        <w:t>s</w:t>
      </w:r>
      <w:r w:rsidRPr="004254D5">
        <w:t xml:space="preserve">tate </w:t>
      </w:r>
      <w:r w:rsidR="00527C2B">
        <w:t>r</w:t>
      </w:r>
      <w:r w:rsidRPr="004254D5">
        <w:t xml:space="preserve">egarding the NFA/FFA </w:t>
      </w:r>
      <w:r w:rsidR="00322D95">
        <w:t>m</w:t>
      </w:r>
      <w:r w:rsidRPr="004254D5">
        <w:t>erger. </w:t>
      </w:r>
      <w:r w:rsidRPr="004254D5">
        <w:rPr>
          <w:i/>
        </w:rPr>
        <w:t>Journal of Agricultural Education</w:t>
      </w:r>
      <w:r w:rsidRPr="004254D5">
        <w:t>, </w:t>
      </w:r>
      <w:r w:rsidRPr="004254D5">
        <w:rPr>
          <w:i/>
        </w:rPr>
        <w:t>62</w:t>
      </w:r>
      <w:r w:rsidRPr="004254D5">
        <w:t xml:space="preserve">(2), 39-52. </w:t>
      </w:r>
      <w:hyperlink r:id="rId10">
        <w:r w:rsidRPr="004254D5">
          <w:t>https://doi.org/10.5032/jae.2021.02039</w:t>
        </w:r>
      </w:hyperlink>
      <w:r w:rsidRPr="004254D5">
        <w:t xml:space="preserve"> </w:t>
      </w:r>
    </w:p>
    <w:p w14:paraId="0A27520E" w14:textId="77777777" w:rsidR="00F54231" w:rsidRDefault="00F54231" w:rsidP="00F54231">
      <w:pPr>
        <w:spacing w:before="240"/>
        <w:ind w:left="720" w:hanging="720"/>
      </w:pPr>
      <w:r w:rsidRPr="004254D5">
        <w:t>Joseph, C., Roesch-McNally, G., &amp; Looser, A. (2024). </w:t>
      </w:r>
      <w:r w:rsidRPr="004254D5">
        <w:rPr>
          <w:i/>
          <w:iCs/>
        </w:rPr>
        <w:t>The state of gender equity in U.S. agriculture</w:t>
      </w:r>
      <w:r w:rsidRPr="004254D5">
        <w:t> (p. 48). American Farmland Trust. https://farmlandinfo.org/wp-content/uploads/sites/2/2023/12/AFT-gender-equity-report.pdf</w:t>
      </w:r>
    </w:p>
    <w:p w14:paraId="21838914" w14:textId="77777777" w:rsidR="00F54231" w:rsidRPr="0045768A" w:rsidRDefault="00F54231" w:rsidP="00F54231">
      <w:pPr>
        <w:spacing w:before="240"/>
        <w:ind w:left="720" w:hanging="720"/>
      </w:pPr>
      <w:r w:rsidRPr="004254D5">
        <w:t xml:space="preserve">Juhász, T., &amp; Horváth-Csikós, G. (2021). The emergence of soft skills in agricultural education. </w:t>
      </w:r>
      <w:r w:rsidRPr="004254D5">
        <w:rPr>
          <w:i/>
        </w:rPr>
        <w:t>Problems and Perspectives in Management, 19</w:t>
      </w:r>
      <w:r w:rsidRPr="004254D5">
        <w:t xml:space="preserve">(3), 453–466. </w:t>
      </w:r>
      <w:hyperlink r:id="rId11" w:history="1">
        <w:r w:rsidRPr="004254D5">
          <w:t>https://doi.org/10.21511/ppm.19(3).2021.37</w:t>
        </w:r>
      </w:hyperlink>
    </w:p>
    <w:p w14:paraId="3679FB52" w14:textId="3984BE8B" w:rsidR="00802120" w:rsidRPr="00802120" w:rsidRDefault="00F54231" w:rsidP="00802120">
      <w:pPr>
        <w:spacing w:before="240"/>
        <w:ind w:left="720" w:hanging="720"/>
        <w:rPr>
          <w:rFonts w:eastAsia="Roboto"/>
          <w:iCs/>
          <w:lang w:val="en-US"/>
        </w:rPr>
      </w:pPr>
      <w:r w:rsidRPr="004254D5">
        <w:rPr>
          <w:rFonts w:eastAsia="Roboto"/>
          <w:iCs/>
        </w:rPr>
        <w:t>Kenney, A. (2022). </w:t>
      </w:r>
      <w:r w:rsidRPr="004254D5">
        <w:rPr>
          <w:rFonts w:eastAsia="Roboto"/>
          <w:i/>
        </w:rPr>
        <w:t>Navigating anti-Black racism: How Black collegians experience the racial climate at a predominantly white institution </w:t>
      </w:r>
      <w:r w:rsidRPr="004254D5">
        <w:rPr>
          <w:rFonts w:eastAsia="Roboto"/>
          <w:iCs/>
        </w:rPr>
        <w:t>[Doctoral dissertation, Pennsylvania State University]. Penn State Electronic Theses and Dissertations for Graduate School. </w:t>
      </w:r>
      <w:r w:rsidR="00802120" w:rsidRPr="00802120">
        <w:rPr>
          <w:rFonts w:eastAsia="Roboto"/>
          <w:iCs/>
          <w:lang w:val="en-US"/>
        </w:rPr>
        <w:t>https://etda.libraries.psu.edu/catalog/23779ajk5460</w:t>
      </w:r>
    </w:p>
    <w:p w14:paraId="0D53862B" w14:textId="4B67C56F" w:rsidR="00E27E9D" w:rsidRDefault="00802120" w:rsidP="00E27E9D">
      <w:pPr>
        <w:spacing w:before="240"/>
        <w:ind w:left="720" w:hanging="720"/>
        <w:rPr>
          <w:rFonts w:eastAsia="Roboto"/>
          <w:iCs/>
          <w:lang w:val="en-US"/>
        </w:rPr>
      </w:pPr>
      <w:r w:rsidRPr="00802120">
        <w:rPr>
          <w:lang w:val="es-ES"/>
        </w:rPr>
        <w:t>Kiyama, J. M., &amp; Rios-Aguilar, C. (2018). </w:t>
      </w:r>
      <w:r w:rsidRPr="002A461B">
        <w:rPr>
          <w:i/>
          <w:iCs/>
        </w:rPr>
        <w:t>Funds of knowledge in higher education: Honoring students’ cultural experiences and resources as strengths</w:t>
      </w:r>
      <w:r w:rsidRPr="00BD7DC5">
        <w:t>.</w:t>
      </w:r>
      <w:r w:rsidR="005D76C6">
        <w:t xml:space="preserve"> </w:t>
      </w:r>
      <w:r w:rsidRPr="00BD7DC5">
        <w:t>Routledge.</w:t>
      </w:r>
    </w:p>
    <w:p w14:paraId="6D5AB733" w14:textId="6F9DA1C2" w:rsidR="00802120" w:rsidRPr="00E27E9D" w:rsidRDefault="00451F38" w:rsidP="00E27E9D">
      <w:pPr>
        <w:spacing w:before="240"/>
        <w:ind w:left="720" w:hanging="720"/>
        <w:rPr>
          <w:rFonts w:eastAsia="Roboto"/>
          <w:iCs/>
          <w:lang w:val="en-US"/>
        </w:rPr>
      </w:pPr>
      <w:r w:rsidRPr="00451F38">
        <w:rPr>
          <w:lang w:val="en-US"/>
        </w:rPr>
        <w:t>Ladson-Billings, G. (1995). Toward a theory of culturally relevant pedagogy. </w:t>
      </w:r>
      <w:r w:rsidRPr="00451F38">
        <w:rPr>
          <w:i/>
          <w:iCs/>
          <w:lang w:val="en-US"/>
        </w:rPr>
        <w:t>American Educational Research Journal, 32</w:t>
      </w:r>
      <w:r w:rsidRPr="00451F38">
        <w:rPr>
          <w:lang w:val="en-US"/>
        </w:rPr>
        <w:t>(3), 465–491.​</w:t>
      </w:r>
    </w:p>
    <w:p w14:paraId="526747EA" w14:textId="473745F4" w:rsidR="00F54231" w:rsidRDefault="00F54231" w:rsidP="00CC56E6">
      <w:pPr>
        <w:spacing w:before="240"/>
        <w:ind w:left="720" w:hanging="720"/>
      </w:pPr>
      <w:r w:rsidRPr="004254D5">
        <w:t>Li, L. (2022). </w:t>
      </w:r>
      <w:r w:rsidRPr="004254D5">
        <w:rPr>
          <w:i/>
          <w:iCs/>
        </w:rPr>
        <w:t>Reskilling and upskilling the future-ready workforce for Industry 4.0 and beyond</w:t>
      </w:r>
      <w:r w:rsidRPr="004254D5">
        <w:t>. </w:t>
      </w:r>
      <w:r w:rsidRPr="004254D5">
        <w:rPr>
          <w:i/>
          <w:iCs/>
        </w:rPr>
        <w:t>Information Systems Frontiers</w:t>
      </w:r>
      <w:r w:rsidRPr="004254D5">
        <w:t>, </w:t>
      </w:r>
      <w:r w:rsidRPr="004254D5">
        <w:rPr>
          <w:i/>
          <w:iCs/>
        </w:rPr>
        <w:t>26</w:t>
      </w:r>
      <w:r w:rsidRPr="004254D5">
        <w:t>, 1697–1712. </w:t>
      </w:r>
      <w:hyperlink r:id="rId12" w:history="1">
        <w:r w:rsidRPr="004254D5">
          <w:t>https://doi.org/10.1007/s10796-022-10308-y</w:t>
        </w:r>
      </w:hyperlink>
    </w:p>
    <w:p w14:paraId="0F9CBD55" w14:textId="77777777" w:rsidR="00CC56E6" w:rsidRPr="004254D5" w:rsidRDefault="00CC56E6" w:rsidP="00CC56E6">
      <w:pPr>
        <w:spacing w:before="240"/>
        <w:ind w:left="720" w:hanging="720"/>
      </w:pPr>
      <w:r w:rsidRPr="00CC56E6">
        <w:rPr>
          <w:lang w:val="en-US"/>
        </w:rPr>
        <w:lastRenderedPageBreak/>
        <w:t xml:space="preserve">Lincoln, Y. S., &amp; Guba, E. G. (1985). </w:t>
      </w:r>
      <w:r w:rsidRPr="004254D5">
        <w:rPr>
          <w:i/>
        </w:rPr>
        <w:t>Naturalistic inquiry</w:t>
      </w:r>
      <w:r w:rsidRPr="004254D5">
        <w:t>. Sage.</w:t>
      </w:r>
    </w:p>
    <w:p w14:paraId="0128A709" w14:textId="77777777" w:rsidR="00CC56E6" w:rsidRDefault="00CC56E6" w:rsidP="00F54231">
      <w:pPr>
        <w:keepLines/>
        <w:ind w:left="720" w:hanging="720"/>
      </w:pPr>
    </w:p>
    <w:p w14:paraId="5F3EBBD7" w14:textId="36419EAB" w:rsidR="00F54231" w:rsidRDefault="00F54231" w:rsidP="00F54231">
      <w:pPr>
        <w:keepLines/>
        <w:ind w:left="720" w:hanging="720"/>
      </w:pPr>
      <w:r w:rsidRPr="00EA284E">
        <w:t xml:space="preserve">Macleod, N., Barnes, </w:t>
      </w:r>
      <w:r w:rsidR="0064254D">
        <w:t>S.-A.</w:t>
      </w:r>
      <w:r w:rsidRPr="00EA284E">
        <w:t>, &amp; O’Leary, S. (2022). Problem representations of employability in higher education. </w:t>
      </w:r>
      <w:r w:rsidRPr="00EA284E">
        <w:rPr>
          <w:rFonts w:eastAsiaTheme="majorEastAsia"/>
          <w:i/>
          <w:iCs/>
        </w:rPr>
        <w:t>British Journal of Guidance &amp; Counselling, 50</w:t>
      </w:r>
      <w:r w:rsidRPr="00EA284E">
        <w:t>(5), 693–707. </w:t>
      </w:r>
      <w:r w:rsidRPr="00652DC6">
        <w:t>https://doi.org/10.1080/03069885.2022.2054943</w:t>
      </w:r>
    </w:p>
    <w:p w14:paraId="04B90D29" w14:textId="77777777" w:rsidR="00F54231" w:rsidRDefault="00F54231" w:rsidP="00F54231">
      <w:pPr>
        <w:spacing w:before="240"/>
        <w:ind w:left="720" w:hanging="720"/>
      </w:pPr>
      <w:r w:rsidRPr="004254D5">
        <w:rPr>
          <w:rFonts w:eastAsia="Calibri"/>
        </w:rPr>
        <w:t xml:space="preserve">Martin, M., Hartmann, K., &amp; Archibeque-Engle, S. (2023). A critical whiteness exploration of the National FFA Organization. </w:t>
      </w:r>
      <w:r w:rsidRPr="004254D5">
        <w:rPr>
          <w:rFonts w:eastAsia="Calibri"/>
          <w:i/>
          <w:iCs/>
        </w:rPr>
        <w:t>Journal of Agricultural Education, 64</w:t>
      </w:r>
      <w:r w:rsidRPr="004254D5">
        <w:rPr>
          <w:rFonts w:eastAsia="Calibri"/>
        </w:rPr>
        <w:t>(1), 136-155. https://doi.org/10.5032/jae.2023.01136</w:t>
      </w:r>
    </w:p>
    <w:p w14:paraId="4A3AA081" w14:textId="77777777" w:rsidR="00F54231" w:rsidRDefault="00F54231" w:rsidP="00F54231">
      <w:pPr>
        <w:ind w:left="720" w:hanging="720"/>
      </w:pPr>
    </w:p>
    <w:p w14:paraId="3429A7F7" w14:textId="6FB1A03F" w:rsidR="00802120" w:rsidRDefault="00F54231" w:rsidP="00802120">
      <w:pPr>
        <w:ind w:left="720" w:hanging="720"/>
      </w:pPr>
      <w:r w:rsidRPr="004254D5">
        <w:t>McGee, E. O., &amp; Martin, D. B. (2011). "You wouldn't believe what I have to go through to prove my intellectual value!": Stereotype management among academically successful Black mathematics and engineering students. </w:t>
      </w:r>
      <w:r w:rsidRPr="004254D5">
        <w:rPr>
          <w:i/>
          <w:iCs/>
        </w:rPr>
        <w:t>American Educational Research Journal, 48</w:t>
      </w:r>
      <w:r w:rsidRPr="004254D5">
        <w:t>(6), 1347–1389. </w:t>
      </w:r>
      <w:r w:rsidR="00802120" w:rsidRPr="00802120">
        <w:t>https://doi.org/10.3102/0002831211423972</w:t>
      </w:r>
    </w:p>
    <w:p w14:paraId="60B7A3C7" w14:textId="77777777" w:rsidR="00802120" w:rsidRDefault="00802120" w:rsidP="00802120">
      <w:pPr>
        <w:ind w:left="720" w:hanging="720"/>
      </w:pPr>
    </w:p>
    <w:p w14:paraId="2F946161" w14:textId="4F08BD73" w:rsidR="00F54231" w:rsidRDefault="00F54231" w:rsidP="00802120">
      <w:pPr>
        <w:ind w:left="720" w:hanging="720"/>
      </w:pPr>
      <w:r w:rsidRPr="00221260">
        <w:t xml:space="preserve">McHugh, M. L. (2012). Interrater reliability: the kappa </w:t>
      </w:r>
      <w:proofErr w:type="gramStart"/>
      <w:r w:rsidR="003E307A" w:rsidRPr="00221260">
        <w:t>statistic</w:t>
      </w:r>
      <w:proofErr w:type="gramEnd"/>
      <w:r w:rsidRPr="00221260">
        <w:t xml:space="preserve">. </w:t>
      </w:r>
      <w:proofErr w:type="spellStart"/>
      <w:r w:rsidRPr="00221260">
        <w:t>Biochem</w:t>
      </w:r>
      <w:proofErr w:type="spellEnd"/>
      <w:r w:rsidRPr="00221260">
        <w:t xml:space="preserve"> Med (Zagreb), 22(3), 276-82.</w:t>
      </w:r>
    </w:p>
    <w:p w14:paraId="08489B10" w14:textId="77777777" w:rsidR="00603880" w:rsidRPr="00AD5DB7" w:rsidRDefault="00603880" w:rsidP="00603880">
      <w:pPr>
        <w:spacing w:before="240"/>
        <w:ind w:left="720" w:hanging="720"/>
      </w:pPr>
      <w:r w:rsidRPr="00AD5DB7">
        <w:t xml:space="preserve">Miles, M. B., Huberman, A. M., &amp; Saldana, J. (2014). </w:t>
      </w:r>
      <w:r w:rsidRPr="00AD5DB7">
        <w:rPr>
          <w:i/>
        </w:rPr>
        <w:t>Qualitative data analysis: A methods sourcebook</w:t>
      </w:r>
      <w:r w:rsidRPr="00AD5DB7">
        <w:t xml:space="preserve"> (3rd ed.). Sage.</w:t>
      </w:r>
    </w:p>
    <w:p w14:paraId="6A68936A" w14:textId="77777777" w:rsidR="00F54231" w:rsidRPr="0045768A" w:rsidRDefault="00F54231" w:rsidP="00F54231">
      <w:pPr>
        <w:spacing w:before="240"/>
        <w:ind w:left="720" w:hanging="720"/>
      </w:pPr>
      <w:r w:rsidRPr="00AD5DB7">
        <w:t xml:space="preserve">Norris, W., Swortzel, K., &amp; McCubbins, O. P. (2023). A quantitative analysis of the perceptions of CTE administrators on the integration of employability skills into agricultural education. </w:t>
      </w:r>
      <w:r w:rsidRPr="00AD5DB7">
        <w:rPr>
          <w:i/>
        </w:rPr>
        <w:t>Journal of Agricultural Education, 64</w:t>
      </w:r>
      <w:r w:rsidRPr="00AD5DB7">
        <w:t>(3), 243-260. https://doi.org/10.5032/jae.2023.03243</w:t>
      </w:r>
    </w:p>
    <w:p w14:paraId="48EC26CB" w14:textId="4337440B" w:rsidR="00F54231" w:rsidRDefault="00F54231" w:rsidP="00F54231">
      <w:pPr>
        <w:spacing w:before="240"/>
        <w:ind w:left="720" w:hanging="720"/>
        <w:rPr>
          <w:highlight w:val="white"/>
        </w:rPr>
      </w:pPr>
      <w:r w:rsidRPr="00F54231">
        <w:rPr>
          <w:highlight w:val="white"/>
          <w:lang w:val="en-US"/>
        </w:rPr>
        <w:t xml:space="preserve">Parrella, J. A., Esquivel, C., Leggette, H. R., &amp; Murphrey, T. P. (2024). </w:t>
      </w:r>
      <w:r w:rsidRPr="00AD5DB7">
        <w:rPr>
          <w:highlight w:val="white"/>
        </w:rPr>
        <w:t>Preparing agricultural leaders: An assessment of agricultural students' perceived importance and development of employability skills. </w:t>
      </w:r>
      <w:r w:rsidRPr="00AD5DB7">
        <w:rPr>
          <w:i/>
          <w:iCs/>
          <w:highlight w:val="white"/>
        </w:rPr>
        <w:t>The Journal of Agricultural Education and Extension, 30</w:t>
      </w:r>
      <w:r w:rsidRPr="00AD5DB7">
        <w:rPr>
          <w:highlight w:val="white"/>
        </w:rPr>
        <w:t>(2), 233–255. </w:t>
      </w:r>
      <w:r w:rsidR="00451F38" w:rsidRPr="00451F38">
        <w:rPr>
          <w:highlight w:val="white"/>
        </w:rPr>
        <w:t>https://doi.org/10.1080/1389224X.2023.2179086</w:t>
      </w:r>
    </w:p>
    <w:p w14:paraId="647811FB" w14:textId="77777777" w:rsidR="00451F38" w:rsidRDefault="00451F38" w:rsidP="00451F38">
      <w:pPr>
        <w:spacing w:before="240"/>
        <w:ind w:left="720" w:hanging="720"/>
        <w:rPr>
          <w:lang w:val="en-US"/>
        </w:rPr>
      </w:pPr>
      <w:r w:rsidRPr="00451F38">
        <w:rPr>
          <w:lang w:val="en-US"/>
        </w:rPr>
        <w:t>Paris, D. (2012). Culturally sustaining pedagogy: A needed change in stance, terminology, and practice. </w:t>
      </w:r>
      <w:r w:rsidRPr="00451F38">
        <w:rPr>
          <w:i/>
          <w:iCs/>
          <w:lang w:val="en-US"/>
        </w:rPr>
        <w:t>Educational Researcher, 41</w:t>
      </w:r>
      <w:r w:rsidRPr="00451F38">
        <w:rPr>
          <w:lang w:val="en-US"/>
        </w:rPr>
        <w:t>(3), 93–97.</w:t>
      </w:r>
    </w:p>
    <w:p w14:paraId="3D6CFCF7" w14:textId="77777777" w:rsidR="001866D4" w:rsidRDefault="001866D4" w:rsidP="001866D4">
      <w:pPr>
        <w:ind w:left="720" w:hanging="720"/>
      </w:pPr>
    </w:p>
    <w:p w14:paraId="26E56EA3" w14:textId="3510CC2E" w:rsidR="00835B20" w:rsidRDefault="001866D4" w:rsidP="00835B20">
      <w:pPr>
        <w:ind w:left="720" w:hanging="720"/>
      </w:pPr>
      <w:r w:rsidRPr="001E52B8">
        <w:t xml:space="preserve">Patton, M. (1990). </w:t>
      </w:r>
      <w:r w:rsidRPr="0064254D">
        <w:rPr>
          <w:i/>
          <w:iCs/>
        </w:rPr>
        <w:t>Qualitative evaluation and research methods</w:t>
      </w:r>
      <w:r w:rsidRPr="001E52B8">
        <w:t xml:space="preserve"> (2nd ed.). Sage</w:t>
      </w:r>
    </w:p>
    <w:p w14:paraId="65BC71C4" w14:textId="77777777" w:rsidR="00322D95" w:rsidRDefault="00322D95" w:rsidP="00835B20">
      <w:pPr>
        <w:ind w:left="720" w:hanging="720"/>
      </w:pPr>
    </w:p>
    <w:p w14:paraId="5A23C09A" w14:textId="075BBF09" w:rsidR="00835B20" w:rsidRPr="001866D4" w:rsidRDefault="00835B20" w:rsidP="00835B20">
      <w:pPr>
        <w:ind w:left="720" w:hanging="720"/>
      </w:pPr>
      <w:proofErr w:type="spellStart"/>
      <w:r w:rsidRPr="00AD5DB7">
        <w:t>Pilgeram</w:t>
      </w:r>
      <w:proofErr w:type="spellEnd"/>
      <w:r w:rsidRPr="00AD5DB7">
        <w:t xml:space="preserve">, R., </w:t>
      </w:r>
      <w:proofErr w:type="spellStart"/>
      <w:r w:rsidRPr="00AD5DB7">
        <w:t>Dentzman</w:t>
      </w:r>
      <w:proofErr w:type="spellEnd"/>
      <w:r w:rsidRPr="00AD5DB7">
        <w:t xml:space="preserve">, K., &amp; Lewin, P. (2022). Women, race and place in US agriculture. </w:t>
      </w:r>
      <w:r w:rsidRPr="00AD5DB7">
        <w:rPr>
          <w:i/>
        </w:rPr>
        <w:t>Agriculture and Human Values, 39</w:t>
      </w:r>
      <w:r w:rsidRPr="00AD5DB7">
        <w:t xml:space="preserve">(4), 1341-1355. </w:t>
      </w:r>
      <w:r w:rsidRPr="0067525E">
        <w:t>https://doi.org/10.1007/s10460-022-10324-3</w:t>
      </w:r>
    </w:p>
    <w:p w14:paraId="490CD032" w14:textId="536AB26A" w:rsidR="00451F38" w:rsidRPr="00AD5DB7" w:rsidRDefault="00D74EEC" w:rsidP="00451F38">
      <w:pPr>
        <w:spacing w:before="240"/>
        <w:ind w:left="720" w:hanging="720"/>
        <w:rPr>
          <w:highlight w:val="white"/>
        </w:rPr>
      </w:pPr>
      <w:r w:rsidRPr="00AD5DB7">
        <w:t xml:space="preserve">Ransom, E. (2024). "The hands that picked cotton": Race discrimination against Mississippi Delta's sharecroppers during the Jim Crow period from 1896-1965. </w:t>
      </w:r>
      <w:r w:rsidRPr="00AD5DB7">
        <w:rPr>
          <w:i/>
        </w:rPr>
        <w:t>International Journal of Law, Ethics and Technology</w:t>
      </w:r>
      <w:r w:rsidRPr="00AD5DB7">
        <w:t xml:space="preserve">. </w:t>
      </w:r>
      <w:hyperlink r:id="rId13">
        <w:r w:rsidRPr="00AD5DB7">
          <w:t>https://ijlet.org/4.4.3</w:t>
        </w:r>
      </w:hyperlink>
    </w:p>
    <w:p w14:paraId="2699190F" w14:textId="22635B86" w:rsidR="00F54231" w:rsidRDefault="00F54231" w:rsidP="00F54231">
      <w:pPr>
        <w:spacing w:before="240"/>
        <w:ind w:left="720" w:hanging="720"/>
        <w:rPr>
          <w:rFonts w:eastAsia="Arial"/>
          <w:iCs/>
        </w:rPr>
      </w:pPr>
      <w:r w:rsidRPr="00AD5DB7">
        <w:rPr>
          <w:rFonts w:eastAsia="Arial"/>
          <w:iCs/>
        </w:rPr>
        <w:t xml:space="preserve">Reese, A. M., &amp; Cooper, D. (2021). Making spaces something like freedom: Black feminist praxis in the re/imagining of a just food system. ACME: </w:t>
      </w:r>
      <w:r w:rsidRPr="00322D95">
        <w:rPr>
          <w:rFonts w:eastAsia="Arial"/>
          <w:i/>
        </w:rPr>
        <w:t>An International Journal for Critical Geographies</w:t>
      </w:r>
      <w:r w:rsidRPr="00AD5DB7">
        <w:rPr>
          <w:rFonts w:eastAsia="Arial"/>
          <w:iCs/>
        </w:rPr>
        <w:t>, 20(4), 450–459. </w:t>
      </w:r>
      <w:r w:rsidR="00D82EEA" w:rsidRPr="00D82EEA">
        <w:rPr>
          <w:rFonts w:eastAsia="Arial"/>
          <w:iCs/>
        </w:rPr>
        <w:t>https://doi.org/10.14288/acme.v20i4.2024</w:t>
      </w:r>
    </w:p>
    <w:p w14:paraId="19B98883" w14:textId="223B490B" w:rsidR="00D82EEA" w:rsidRPr="00D82EEA" w:rsidRDefault="00D82EEA" w:rsidP="00D82EEA">
      <w:pPr>
        <w:spacing w:before="240"/>
        <w:ind w:left="720" w:hanging="720"/>
        <w:rPr>
          <w:rFonts w:eastAsia="Arial"/>
          <w:iCs/>
          <w:lang w:val="en-US"/>
        </w:rPr>
      </w:pPr>
      <w:r w:rsidRPr="00D82EEA">
        <w:rPr>
          <w:rFonts w:eastAsia="Arial"/>
          <w:iCs/>
          <w:lang w:val="en-US"/>
        </w:rPr>
        <w:lastRenderedPageBreak/>
        <w:t xml:space="preserve">Rendón, L. I. (1994). Validating culturally diverse students: Toward a new model of learning and student development. </w:t>
      </w:r>
      <w:r w:rsidRPr="00D82EEA">
        <w:rPr>
          <w:rFonts w:eastAsia="Arial"/>
          <w:i/>
          <w:iCs/>
          <w:lang w:val="en-US"/>
        </w:rPr>
        <w:t>Innovative Higher Education, 19</w:t>
      </w:r>
      <w:r w:rsidRPr="00D82EEA">
        <w:rPr>
          <w:rFonts w:eastAsia="Arial"/>
          <w:iCs/>
          <w:lang w:val="en-US"/>
        </w:rPr>
        <w:t>(1), 33–51. https://doi.org/10.1007/BF01191156</w:t>
      </w:r>
    </w:p>
    <w:p w14:paraId="5A6309B9" w14:textId="77777777" w:rsidR="00F54231" w:rsidRDefault="00F54231" w:rsidP="00F54231">
      <w:pPr>
        <w:spacing w:before="240"/>
        <w:ind w:left="720" w:hanging="720"/>
      </w:pPr>
      <w:r w:rsidRPr="00AD5DB7">
        <w:t xml:space="preserve">Richter, B. S., </w:t>
      </w:r>
      <w:proofErr w:type="spellStart"/>
      <w:r w:rsidRPr="00AD5DB7">
        <w:t>Poleatewich</w:t>
      </w:r>
      <w:proofErr w:type="spellEnd"/>
      <w:r w:rsidRPr="00AD5DB7">
        <w:t xml:space="preserve">, A., Hayslett, M., &amp; Stofer, K. (2018). Finding the gaps: An assessment of foundational concepts, skills, and employer expectations for plant pathology courses. </w:t>
      </w:r>
      <w:r w:rsidRPr="00AD5DB7">
        <w:rPr>
          <w:i/>
        </w:rPr>
        <w:t>Plant Disease, 102</w:t>
      </w:r>
      <w:r w:rsidRPr="00AD5DB7">
        <w:t xml:space="preserve">(10), 1883-1898. </w:t>
      </w:r>
      <w:hyperlink r:id="rId14">
        <w:r w:rsidRPr="00AD5DB7">
          <w:t>https://doi.org/10.1094/PDIS-11-17-1845-FE</w:t>
        </w:r>
      </w:hyperlink>
      <w:r w:rsidRPr="00AD5DB7">
        <w:rPr>
          <w:i/>
        </w:rPr>
        <w:t xml:space="preserve">  </w:t>
      </w:r>
    </w:p>
    <w:p w14:paraId="2478DDAB" w14:textId="77777777" w:rsidR="00F54231" w:rsidRDefault="00F54231" w:rsidP="00F54231">
      <w:pPr>
        <w:spacing w:before="240"/>
        <w:ind w:left="720" w:hanging="720"/>
      </w:pPr>
      <w:r w:rsidRPr="00AD5DB7">
        <w:t>Sam, S., Mira, L., &amp; Kai, S. (2022). </w:t>
      </w:r>
      <w:r w:rsidRPr="00AD5DB7">
        <w:rPr>
          <w:i/>
          <w:iCs/>
        </w:rPr>
        <w:t>The impact of digitalization and automation on horticultural employees: A systematic literature review and field study</w:t>
      </w:r>
      <w:r w:rsidRPr="00AD5DB7">
        <w:t>. </w:t>
      </w:r>
      <w:r w:rsidRPr="00AD5DB7">
        <w:rPr>
          <w:i/>
          <w:iCs/>
        </w:rPr>
        <w:t>Journal of Rural Studies, 95</w:t>
      </w:r>
      <w:r w:rsidRPr="00AD5DB7">
        <w:t>, 560–569. </w:t>
      </w:r>
      <w:hyperlink r:id="rId15" w:history="1">
        <w:r w:rsidRPr="00AD5DB7">
          <w:t>https://doi.org/10.1016/j.jrurstud.2022.09.016</w:t>
        </w:r>
      </w:hyperlink>
    </w:p>
    <w:p w14:paraId="4BDCAC55" w14:textId="77777777" w:rsidR="00F54231" w:rsidRPr="002E1033" w:rsidRDefault="00F54231" w:rsidP="00F54231">
      <w:pPr>
        <w:spacing w:before="240"/>
        <w:ind w:left="720" w:hanging="720"/>
      </w:pPr>
      <w:r w:rsidRPr="00AD5DB7">
        <w:t xml:space="preserve">Seidman, I. (2019). </w:t>
      </w:r>
      <w:r w:rsidRPr="00AD5DB7">
        <w:rPr>
          <w:i/>
        </w:rPr>
        <w:t>Interviewing as qualitative research: A guide for researchers in education and the social sciences</w:t>
      </w:r>
      <w:r w:rsidRPr="00AD5DB7">
        <w:t xml:space="preserve"> (5th ed.). Teachers College Press.</w:t>
      </w:r>
    </w:p>
    <w:p w14:paraId="13F42805" w14:textId="77777777" w:rsidR="00874500" w:rsidRDefault="00F54231" w:rsidP="00F54231">
      <w:pPr>
        <w:spacing w:before="240"/>
        <w:ind w:left="720" w:hanging="720"/>
      </w:pPr>
      <w:r w:rsidRPr="00AD5DB7">
        <w:t>Saldaña, J. (201</w:t>
      </w:r>
      <w:r>
        <w:t>6</w:t>
      </w:r>
      <w:r w:rsidRPr="00AD5DB7">
        <w:t xml:space="preserve">). </w:t>
      </w:r>
      <w:r w:rsidRPr="00AD5DB7">
        <w:rPr>
          <w:i/>
        </w:rPr>
        <w:t>The coding manual for qualitative researchers</w:t>
      </w:r>
      <w:r w:rsidRPr="00AD5DB7">
        <w:t xml:space="preserve"> (3rd ed.). Sage</w:t>
      </w:r>
    </w:p>
    <w:p w14:paraId="6BCC1018" w14:textId="0AAF88E4" w:rsidR="00F54231" w:rsidRPr="002E1033" w:rsidRDefault="00874500" w:rsidP="00F54231">
      <w:pPr>
        <w:spacing w:before="240"/>
        <w:ind w:left="720" w:hanging="720"/>
      </w:pPr>
      <w:r w:rsidRPr="00874500">
        <w:t xml:space="preserve">Smalls, T. T. (2024). Brought What I Needed to Succeed: Community Cultural Wealth in the Persistence Experiences of Former Division II Black Women Basketball Players Who Graduated from Predominantly White Institutions </w:t>
      </w:r>
      <w:proofErr w:type="spellStart"/>
      <w:r w:rsidRPr="00874500">
        <w:t>ÄDoctoral</w:t>
      </w:r>
      <w:proofErr w:type="spellEnd"/>
      <w:r w:rsidRPr="00874500">
        <w:t xml:space="preserve"> dissertation, Clemson </w:t>
      </w:r>
      <w:proofErr w:type="spellStart"/>
      <w:r w:rsidRPr="00874500">
        <w:t>UniversityÑ</w:t>
      </w:r>
      <w:proofErr w:type="spellEnd"/>
      <w:r w:rsidRPr="00874500">
        <w:t xml:space="preserve">. All </w:t>
      </w:r>
      <w:proofErr w:type="gramStart"/>
      <w:r w:rsidRPr="00874500">
        <w:t>Dissertations.3660.</w:t>
      </w:r>
      <w:r w:rsidR="00F54231" w:rsidRPr="00AD5DB7">
        <w:t>.</w:t>
      </w:r>
      <w:proofErr w:type="gramEnd"/>
    </w:p>
    <w:p w14:paraId="0E92530C" w14:textId="77777777" w:rsidR="00F54231" w:rsidRPr="00954A7F" w:rsidRDefault="00F54231" w:rsidP="00F54231">
      <w:pPr>
        <w:spacing w:before="240"/>
        <w:ind w:left="720" w:hanging="720"/>
      </w:pPr>
      <w:r w:rsidRPr="00AD5DB7">
        <w:t>Stanley, I. H., Dade, E., &amp; Cawkwell, P. (2024). Mental health, well-being and resilience in agricultural areas. </w:t>
      </w:r>
      <w:r w:rsidRPr="00AD5DB7">
        <w:rPr>
          <w:i/>
          <w:iCs/>
        </w:rPr>
        <w:t>Journal of Rural Studies, 102</w:t>
      </w:r>
      <w:r w:rsidRPr="00AD5DB7">
        <w:t>, 1–8. https://www.sciencedirect.com/science/article/pii/S0743016724003103</w:t>
      </w:r>
    </w:p>
    <w:p w14:paraId="1E889D3F" w14:textId="77777777" w:rsidR="00F54231" w:rsidRDefault="00F54231" w:rsidP="00F54231">
      <w:pPr>
        <w:spacing w:before="240"/>
        <w:ind w:left="720" w:hanging="720"/>
      </w:pPr>
      <w:r w:rsidRPr="00E835C3">
        <w:rPr>
          <w:lang w:val="fr-FR"/>
        </w:rPr>
        <w:t xml:space="preserve">Stanton, J. D., Means, D. R., Babatola, O., </w:t>
      </w:r>
      <w:proofErr w:type="spellStart"/>
      <w:r w:rsidRPr="00E835C3">
        <w:rPr>
          <w:lang w:val="fr-FR"/>
        </w:rPr>
        <w:t>Osondu</w:t>
      </w:r>
      <w:proofErr w:type="spellEnd"/>
      <w:r w:rsidRPr="00E835C3">
        <w:rPr>
          <w:lang w:val="fr-FR"/>
        </w:rPr>
        <w:t xml:space="preserve">, C., Oni, O., &amp; Mekonnen, B. (2022). </w:t>
      </w:r>
      <w:r w:rsidRPr="00AD5DB7">
        <w:t xml:space="preserve">Drawing on internal strengths and creating spaces for growth: How Black science majors navigate the racial climate at a predominantly white institution to succeed. </w:t>
      </w:r>
      <w:r w:rsidRPr="00AD5DB7">
        <w:rPr>
          <w:i/>
        </w:rPr>
        <w:t>CBE—Life Sciences Education, 21</w:t>
      </w:r>
      <w:r w:rsidRPr="00AD5DB7">
        <w:t>(1), ar3. https://doi.org/10.1187/cbe.21-02-0049</w:t>
      </w:r>
    </w:p>
    <w:p w14:paraId="7A0541F7" w14:textId="77777777" w:rsidR="00F54231" w:rsidRPr="00AD5DB7" w:rsidRDefault="00F54231" w:rsidP="00F54231">
      <w:pPr>
        <w:spacing w:before="240"/>
        <w:ind w:left="720" w:hanging="720"/>
      </w:pPr>
      <w:r w:rsidRPr="00AD5DB7">
        <w:t xml:space="preserve">Tran, T., Jackson, D., Lambert, C., Sibson, R., </w:t>
      </w:r>
      <w:proofErr w:type="spellStart"/>
      <w:r w:rsidRPr="00AD5DB7">
        <w:t>Bridgstock</w:t>
      </w:r>
      <w:proofErr w:type="spellEnd"/>
      <w:r w:rsidRPr="00AD5DB7">
        <w:t>, R., &amp; Tofa, M. (2023). Student employability-building activities: Participation, barriers, and perspectives. </w:t>
      </w:r>
      <w:r w:rsidRPr="00AD5DB7">
        <w:rPr>
          <w:i/>
          <w:iCs/>
        </w:rPr>
        <w:t>Studies in Higher Education</w:t>
      </w:r>
      <w:r w:rsidRPr="00AD5DB7">
        <w:t>. Advance online publication. https://www.tandfonline.com/doi/full/10.1080/07294360.2024.2325154</w:t>
      </w:r>
    </w:p>
    <w:p w14:paraId="36C096E5" w14:textId="77777777" w:rsidR="00F54231" w:rsidRDefault="00F54231" w:rsidP="00F54231">
      <w:pPr>
        <w:spacing w:before="240"/>
        <w:ind w:left="720" w:hanging="720"/>
      </w:pPr>
      <w:r w:rsidRPr="00F54231">
        <w:rPr>
          <w:lang w:val="en-US"/>
        </w:rPr>
        <w:t xml:space="preserve">Trotter, R. T., &amp; Potter, J. M. (1993). </w:t>
      </w:r>
      <w:r w:rsidRPr="00AD5DB7">
        <w:t xml:space="preserve">Pile Sorts, A Cognitive Anthropological Model of Drug and AIDS Risks for Navajo Teenagers: Assessment of a New Evaluation Tool. </w:t>
      </w:r>
      <w:r w:rsidRPr="00322D95">
        <w:rPr>
          <w:i/>
          <w:iCs/>
        </w:rPr>
        <w:t xml:space="preserve">Drugs &amp; Society, </w:t>
      </w:r>
      <w:r w:rsidRPr="00AD5DB7">
        <w:t>7(3–4), 23–39. https://doi.org/10.1300/J023v07n03_03</w:t>
      </w:r>
    </w:p>
    <w:p w14:paraId="0E5BCE0D" w14:textId="52E7E334" w:rsidR="00F54231" w:rsidRDefault="00F54231" w:rsidP="004A2596">
      <w:pPr>
        <w:spacing w:before="240"/>
        <w:ind w:left="720" w:hanging="720"/>
      </w:pPr>
      <w:r w:rsidRPr="00AD5DB7">
        <w:t xml:space="preserve"> Tushar, H., &amp; Sooraksa, N. (2023). Global employability skills in the 21st-century workplace: A semi-systematic literature review. </w:t>
      </w:r>
      <w:r w:rsidRPr="00AD5DB7">
        <w:rPr>
          <w:i/>
          <w:iCs/>
        </w:rPr>
        <w:t>Human Resource Development Review</w:t>
      </w:r>
      <w:r w:rsidRPr="00AD5DB7">
        <w:t>, [Advance online publication]. </w:t>
      </w:r>
      <w:r w:rsidRPr="00652DC6">
        <w:t>https://pmc.ncbi.nlm.nih.gov/articles/PMC10637906/</w:t>
      </w:r>
    </w:p>
    <w:p w14:paraId="531D282A" w14:textId="2FFDC66D" w:rsidR="004A2596" w:rsidRDefault="004A2596" w:rsidP="004A2596">
      <w:pPr>
        <w:spacing w:before="240"/>
        <w:ind w:left="720" w:hanging="720"/>
      </w:pPr>
      <w:r w:rsidRPr="00AD5DB7">
        <w:t xml:space="preserve">Touzeau, L. (2019). Being stewards of land is our legacy: Exploring the lived experiences of young black farmers. </w:t>
      </w:r>
      <w:r w:rsidRPr="00AD5DB7">
        <w:rPr>
          <w:i/>
        </w:rPr>
        <w:t>Journal of Agriculture, Food Systems, and Community Development, 8</w:t>
      </w:r>
      <w:r w:rsidRPr="00AD5DB7">
        <w:t>(4), 1–6. https://doi.org/10.5304/jafscd.2019.084.007</w:t>
      </w:r>
    </w:p>
    <w:p w14:paraId="69626494" w14:textId="77777777" w:rsidR="004A2596" w:rsidRDefault="004A2596" w:rsidP="00F54231">
      <w:pPr>
        <w:keepLines/>
        <w:ind w:left="720" w:hanging="720"/>
      </w:pPr>
    </w:p>
    <w:p w14:paraId="72FC86FC" w14:textId="209AB019" w:rsidR="00F54231" w:rsidRDefault="00F54231" w:rsidP="00F54231">
      <w:pPr>
        <w:keepLines/>
        <w:ind w:left="720" w:hanging="720"/>
      </w:pPr>
      <w:r w:rsidRPr="00373F7A">
        <w:t xml:space="preserve">United States Department of Education and Office of Career, Technical, and Adult Education (2018). </w:t>
      </w:r>
      <w:r w:rsidRPr="00373F7A">
        <w:rPr>
          <w:i/>
          <w:iCs/>
        </w:rPr>
        <w:t>Employability skills framework.</w:t>
      </w:r>
      <w:r w:rsidRPr="00373F7A">
        <w:t xml:space="preserve"> </w:t>
      </w:r>
      <w:r w:rsidRPr="00652DC6">
        <w:t>https://s3.amazonaws.com/PCRN/docs/Employability_Skills_Framework_OnePager_20180212.pdf</w:t>
      </w:r>
    </w:p>
    <w:p w14:paraId="5CD36F93" w14:textId="77777777" w:rsidR="00F54231" w:rsidRPr="00BB088A" w:rsidRDefault="00F54231" w:rsidP="00F54231">
      <w:pPr>
        <w:spacing w:before="240"/>
        <w:ind w:left="720" w:hanging="720"/>
        <w:rPr>
          <w:iCs/>
        </w:rPr>
      </w:pPr>
      <w:r w:rsidRPr="00AD5DB7">
        <w:rPr>
          <w:rFonts w:eastAsia="Roboto"/>
          <w:iCs/>
        </w:rPr>
        <w:t xml:space="preserve">Wang, P.C., Huang, J.-W., &amp; Lee, D.-C. (2023). Participation in intergenerational food and agriculture education programs effectively promotes place attachment. </w:t>
      </w:r>
      <w:r w:rsidRPr="00AD5DB7">
        <w:rPr>
          <w:rFonts w:eastAsia="Roboto"/>
          <w:i/>
        </w:rPr>
        <w:t>International Journal of Environmental Research and Public Health</w:t>
      </w:r>
      <w:r w:rsidRPr="00AD5DB7">
        <w:rPr>
          <w:rFonts w:eastAsia="Roboto"/>
          <w:iCs/>
        </w:rPr>
        <w:t xml:space="preserve">, </w:t>
      </w:r>
      <w:r w:rsidRPr="00AD5DB7">
        <w:rPr>
          <w:rFonts w:eastAsia="Roboto"/>
          <w:i/>
        </w:rPr>
        <w:t>20</w:t>
      </w:r>
      <w:r w:rsidRPr="00AD5DB7">
        <w:rPr>
          <w:rFonts w:eastAsia="Roboto"/>
          <w:iCs/>
        </w:rPr>
        <w:t xml:space="preserve">(5), 4616. </w:t>
      </w:r>
      <w:hyperlink r:id="rId16">
        <w:r w:rsidRPr="00AD5DB7">
          <w:rPr>
            <w:rFonts w:eastAsia="Roboto"/>
            <w:iCs/>
          </w:rPr>
          <w:t>https://doi.org/10.3390/ijerph20054616</w:t>
        </w:r>
      </w:hyperlink>
    </w:p>
    <w:p w14:paraId="731F5D88" w14:textId="18358001" w:rsidR="00F54231" w:rsidRPr="00802120" w:rsidRDefault="00F54231" w:rsidP="00802120">
      <w:pPr>
        <w:spacing w:before="240"/>
        <w:ind w:left="720" w:hanging="720"/>
        <w:rPr>
          <w:iCs/>
        </w:rPr>
      </w:pPr>
      <w:r w:rsidRPr="00AD5DB7">
        <w:rPr>
          <w:rFonts w:eastAsia="Roboto"/>
          <w:iCs/>
        </w:rPr>
        <w:t>Washington, C. A. (2024).</w:t>
      </w:r>
      <w:r w:rsidRPr="00AD5DB7">
        <w:rPr>
          <w:rFonts w:eastAsia="Roboto"/>
          <w:i/>
        </w:rPr>
        <w:t xml:space="preserve"> It takes a village: Stories of Black grandparents raising grandchildren </w:t>
      </w:r>
      <w:r w:rsidRPr="00AD5DB7">
        <w:rPr>
          <w:rFonts w:eastAsia="Roboto"/>
          <w:iCs/>
        </w:rPr>
        <w:t xml:space="preserve">(Doctoral dissertation, Walden University). </w:t>
      </w:r>
      <w:r w:rsidRPr="00AD5DB7">
        <w:rPr>
          <w:rFonts w:eastAsia="Roboto"/>
          <w:i/>
        </w:rPr>
        <w:t>Walden Dissertations and Doctoral Studies</w:t>
      </w:r>
      <w:r w:rsidRPr="00AD5DB7">
        <w:rPr>
          <w:rFonts w:eastAsia="Roboto"/>
          <w:iCs/>
        </w:rPr>
        <w:t xml:space="preserve">, 15853. </w:t>
      </w:r>
      <w:hyperlink r:id="rId17">
        <w:r w:rsidRPr="00AD5DB7">
          <w:rPr>
            <w:rFonts w:eastAsia="Roboto"/>
            <w:iCs/>
          </w:rPr>
          <w:t>https://scholarworks.waldenu.edu/dissertations/15853</w:t>
        </w:r>
      </w:hyperlink>
    </w:p>
    <w:p w14:paraId="5BC2598A" w14:textId="77777777" w:rsidR="00486CFA" w:rsidRDefault="00F54231" w:rsidP="00486CFA">
      <w:pPr>
        <w:spacing w:before="240"/>
        <w:ind w:left="720" w:hanging="720"/>
      </w:pPr>
      <w:r w:rsidRPr="00AD5DB7">
        <w:t xml:space="preserve">Wilson, B. (2021, February 19). </w:t>
      </w:r>
      <w:r w:rsidRPr="00AD5DB7">
        <w:rPr>
          <w:i/>
        </w:rPr>
        <w:t xml:space="preserve">Making Black </w:t>
      </w:r>
      <w:proofErr w:type="spellStart"/>
      <w:r w:rsidRPr="00AD5DB7">
        <w:rPr>
          <w:i/>
        </w:rPr>
        <w:t>HERstory</w:t>
      </w:r>
      <w:proofErr w:type="spellEnd"/>
      <w:r w:rsidRPr="00AD5DB7">
        <w:rPr>
          <w:i/>
        </w:rPr>
        <w:t>: Women in Agriculture</w:t>
      </w:r>
      <w:r w:rsidRPr="00AD5DB7">
        <w:t xml:space="preserve">. AGDAILY; Washington D.C.: American Farmland Trust. </w:t>
      </w:r>
      <w:hyperlink r:id="rId18" w:history="1">
        <w:r w:rsidRPr="00AD5DB7">
          <w:t>https://www.agdaily.com/insights/making-black-herstory-women-in-agriculture/</w:t>
        </w:r>
      </w:hyperlink>
    </w:p>
    <w:p w14:paraId="7EDB0E1B" w14:textId="5B6D7074" w:rsidR="00486CFA" w:rsidRDefault="00F54231" w:rsidP="00486CFA">
      <w:pPr>
        <w:spacing w:before="240"/>
        <w:ind w:left="720" w:hanging="720"/>
      </w:pPr>
      <w:r w:rsidRPr="00AD5DB7">
        <w:t>Yanar, A., MacEachen, E., Caxaj, S., &amp; McLaughlin, J. (2022). The prevalence of farmer burnout: Systematic review and narrative synthesis. </w:t>
      </w:r>
      <w:r w:rsidRPr="00AD5DB7">
        <w:rPr>
          <w:i/>
          <w:iCs/>
        </w:rPr>
        <w:t>Journal of Rural Studies, 94</w:t>
      </w:r>
      <w:r w:rsidRPr="00AD5DB7">
        <w:t>, 497–507. </w:t>
      </w:r>
      <w:r w:rsidR="00486CFA" w:rsidRPr="00802120">
        <w:t>https://www.sciencedirect.com/science/article/abs/pii/S0743016722002765</w:t>
      </w:r>
    </w:p>
    <w:p w14:paraId="1AA4AE21" w14:textId="05485F97" w:rsidR="00486CFA" w:rsidRDefault="00727764" w:rsidP="00486CFA">
      <w:pPr>
        <w:spacing w:before="240"/>
        <w:ind w:left="720" w:hanging="720"/>
      </w:pPr>
      <w:r w:rsidRPr="00AD5DB7">
        <w:rPr>
          <w:shd w:val="clear" w:color="auto" w:fill="FFFFFF"/>
        </w:rPr>
        <w:t xml:space="preserve">Yin, R. K. (2014). </w:t>
      </w:r>
      <w:r w:rsidRPr="00AD5DB7">
        <w:rPr>
          <w:i/>
          <w:iCs/>
          <w:shd w:val="clear" w:color="auto" w:fill="FFFFFF"/>
        </w:rPr>
        <w:t>Case study research: Design and methods</w:t>
      </w:r>
      <w:r w:rsidRPr="00AD5DB7">
        <w:rPr>
          <w:shd w:val="clear" w:color="auto" w:fill="FFFFFF"/>
        </w:rPr>
        <w:t xml:space="preserve"> (5th ed.). Sage Publications.</w:t>
      </w:r>
    </w:p>
    <w:p w14:paraId="7ED43E13" w14:textId="71E288BD" w:rsidR="00F54231" w:rsidRPr="00186E2C" w:rsidRDefault="00F54231" w:rsidP="00486CFA">
      <w:pPr>
        <w:spacing w:before="240"/>
        <w:ind w:left="720" w:hanging="720"/>
      </w:pPr>
      <w:r w:rsidRPr="00EA284E">
        <w:t xml:space="preserve">Yosso, T. J. (2005). Whose culture has capital? A </w:t>
      </w:r>
      <w:proofErr w:type="gramStart"/>
      <w:r w:rsidRPr="00EA284E">
        <w:t>critical race</w:t>
      </w:r>
      <w:proofErr w:type="gramEnd"/>
      <w:r w:rsidRPr="00EA284E">
        <w:t xml:space="preserve"> theory discussion of community cultural wealth. </w:t>
      </w:r>
      <w:r w:rsidRPr="00EA284E">
        <w:rPr>
          <w:rFonts w:eastAsiaTheme="majorEastAsia"/>
          <w:i/>
          <w:iCs/>
        </w:rPr>
        <w:t>Race Ethnicity and Education, 8</w:t>
      </w:r>
      <w:r w:rsidRPr="00EA284E">
        <w:t>(1), 69–91.</w:t>
      </w:r>
    </w:p>
    <w:p w14:paraId="2F5E4F39" w14:textId="77777777" w:rsidR="00F54231" w:rsidRPr="00AD5DB7" w:rsidRDefault="00F54231" w:rsidP="00F54231">
      <w:pPr>
        <w:spacing w:before="240"/>
        <w:ind w:left="720" w:hanging="720"/>
      </w:pPr>
      <w:proofErr w:type="spellStart"/>
      <w:r w:rsidRPr="00AD5DB7">
        <w:t>Ziker</w:t>
      </w:r>
      <w:proofErr w:type="spellEnd"/>
      <w:r w:rsidRPr="00AD5DB7">
        <w:t xml:space="preserve">, C., Johnson, J., &amp; Paredes, P. (2023). The state of STEM: Challenges and opportunities. Manhattan Beach, CA: </w:t>
      </w:r>
      <w:proofErr w:type="spellStart"/>
      <w:r w:rsidRPr="00AD5DB7">
        <w:rPr>
          <w:i/>
        </w:rPr>
        <w:t>STEMconnector</w:t>
      </w:r>
      <w:proofErr w:type="spellEnd"/>
      <w:r w:rsidRPr="00AD5DB7">
        <w:rPr>
          <w:i/>
        </w:rPr>
        <w:t>.</w:t>
      </w:r>
      <w:hyperlink r:id="rId19">
        <w:r w:rsidRPr="00AD5DB7">
          <w:t xml:space="preserve"> </w:t>
        </w:r>
      </w:hyperlink>
      <w:r w:rsidRPr="00AD5DB7">
        <w:t>https://www.stemconnector.com/download-resource/state-of-stem-challenges-and-opportunities/</w:t>
      </w:r>
    </w:p>
    <w:p w14:paraId="5011FBF9" w14:textId="77777777" w:rsidR="00F54231" w:rsidRDefault="00F54231" w:rsidP="00F54231">
      <w:pPr>
        <w:spacing w:line="480" w:lineRule="auto"/>
        <w:ind w:left="788" w:hanging="720"/>
      </w:pPr>
    </w:p>
    <w:p w14:paraId="6AF1DBCE" w14:textId="77777777" w:rsidR="001E0380" w:rsidRDefault="001E0380" w:rsidP="00F54231">
      <w:pPr>
        <w:spacing w:line="480" w:lineRule="auto"/>
        <w:ind w:left="788" w:hanging="720"/>
      </w:pPr>
    </w:p>
    <w:p w14:paraId="64371ACC" w14:textId="77777777" w:rsidR="001E0380" w:rsidRDefault="001E0380" w:rsidP="00F54231">
      <w:pPr>
        <w:spacing w:line="480" w:lineRule="auto"/>
        <w:ind w:left="788" w:hanging="720"/>
      </w:pPr>
    </w:p>
    <w:p w14:paraId="179DE193" w14:textId="77777777" w:rsidR="00802120" w:rsidRDefault="00802120" w:rsidP="00F54231">
      <w:pPr>
        <w:spacing w:line="480" w:lineRule="auto"/>
        <w:ind w:left="788" w:hanging="720"/>
      </w:pPr>
    </w:p>
    <w:p w14:paraId="163BB2C5" w14:textId="77777777" w:rsidR="00802120" w:rsidRDefault="00802120" w:rsidP="00F54231">
      <w:pPr>
        <w:spacing w:line="480" w:lineRule="auto"/>
        <w:ind w:left="788" w:hanging="720"/>
      </w:pPr>
    </w:p>
    <w:p w14:paraId="22D7B26B" w14:textId="4D347F46" w:rsidR="001E0380" w:rsidRPr="00AD5DB7" w:rsidRDefault="001E0380" w:rsidP="003E7455">
      <w:pPr>
        <w:spacing w:line="480" w:lineRule="auto"/>
      </w:pPr>
    </w:p>
    <w:sectPr w:rsidR="001E0380" w:rsidRPr="00AD5DB7">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0AAB6" w14:textId="77777777" w:rsidR="00006A40" w:rsidRDefault="00006A40" w:rsidP="00A510A5">
      <w:r>
        <w:separator/>
      </w:r>
    </w:p>
  </w:endnote>
  <w:endnote w:type="continuationSeparator" w:id="0">
    <w:p w14:paraId="52F7B68F" w14:textId="77777777" w:rsidR="00006A40" w:rsidRDefault="00006A40" w:rsidP="00A5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embedRegular r:id="rId1" w:fontKey="{A1834D5C-D628-4B18-8386-88C38798FA04}"/>
  </w:font>
  <w:font w:name="Aptos">
    <w:charset w:val="00"/>
    <w:family w:val="swiss"/>
    <w:pitch w:val="variable"/>
    <w:sig w:usb0="20000287" w:usb1="00000003" w:usb2="00000000" w:usb3="00000000" w:csb0="0000019F" w:csb1="00000000"/>
    <w:embedRegular r:id="rId2" w:fontKey="{AF317F79-E5C0-44E6-9B07-E917EEA44DFB}"/>
    <w:embedItalic r:id="rId3" w:fontKey="{37893D46-9A43-424F-AA9E-2231AF482039}"/>
  </w:font>
  <w:font w:name="Aptos Display">
    <w:charset w:val="00"/>
    <w:family w:val="swiss"/>
    <w:pitch w:val="variable"/>
    <w:sig w:usb0="20000287" w:usb1="00000003" w:usb2="00000000" w:usb3="00000000" w:csb0="0000019F" w:csb1="00000000"/>
    <w:embedRegular r:id="rId4" w:fontKey="{F9954160-1B0A-4F00-BEC6-E4147E3B0EFC}"/>
  </w:font>
  <w:font w:name="Calibri">
    <w:panose1 w:val="020F0502020204030204"/>
    <w:charset w:val="00"/>
    <w:family w:val="swiss"/>
    <w:pitch w:val="variable"/>
    <w:sig w:usb0="E4002EFF" w:usb1="C200247B" w:usb2="00000009" w:usb3="00000000" w:csb0="000001FF" w:csb1="00000000"/>
    <w:embedRegular r:id="rId5" w:fontKey="{527A8E32-DD9D-4910-B644-71F12D835FA3}"/>
    <w:embedItalic r:id="rId6" w:fontKey="{7EE392C2-E6DE-4C96-AAA3-1971F8812A86}"/>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embedRegular r:id="rId7" w:fontKey="{259408C9-7FF8-4B7E-A4A7-C15B9F41EF06}"/>
    <w:embedItalic r:id="rId8" w:fontKey="{5539C192-F2AA-4C79-86F9-B0EEDA7A822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272826"/>
      <w:docPartObj>
        <w:docPartGallery w:val="Page Numbers (Bottom of Page)"/>
        <w:docPartUnique/>
      </w:docPartObj>
    </w:sdtPr>
    <w:sdtEndPr>
      <w:rPr>
        <w:noProof/>
      </w:rPr>
    </w:sdtEndPr>
    <w:sdtContent>
      <w:p w14:paraId="6E407806" w14:textId="30FDE1DD" w:rsidR="00564743" w:rsidRDefault="005647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6AC083" w14:textId="77777777" w:rsidR="00626D11" w:rsidRDefault="00626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1CF77" w14:textId="77777777" w:rsidR="00006A40" w:rsidRDefault="00006A40" w:rsidP="00A510A5">
      <w:r>
        <w:separator/>
      </w:r>
    </w:p>
  </w:footnote>
  <w:footnote w:type="continuationSeparator" w:id="0">
    <w:p w14:paraId="3A2F2827" w14:textId="77777777" w:rsidR="00006A40" w:rsidRDefault="00006A40" w:rsidP="00A51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468B4"/>
    <w:multiLevelType w:val="multilevel"/>
    <w:tmpl w:val="0F30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EA730A"/>
    <w:multiLevelType w:val="hybridMultilevel"/>
    <w:tmpl w:val="2066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C0479C"/>
    <w:multiLevelType w:val="hybridMultilevel"/>
    <w:tmpl w:val="EA7AF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562A29"/>
    <w:multiLevelType w:val="hybridMultilevel"/>
    <w:tmpl w:val="493AA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7617523">
    <w:abstractNumId w:val="3"/>
  </w:num>
  <w:num w:numId="2" w16cid:durableId="1722244117">
    <w:abstractNumId w:val="0"/>
  </w:num>
  <w:num w:numId="3" w16cid:durableId="1449811191">
    <w:abstractNumId w:val="1"/>
  </w:num>
  <w:num w:numId="4" w16cid:durableId="728967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K3MDc3szAzMzexNDdX0lEKTi0uzszPAykwqgUAp3HANCwAAAA="/>
  </w:docVars>
  <w:rsids>
    <w:rsidRoot w:val="00EC4EEA"/>
    <w:rsid w:val="00002DBE"/>
    <w:rsid w:val="00006A40"/>
    <w:rsid w:val="00022791"/>
    <w:rsid w:val="00024030"/>
    <w:rsid w:val="000370BA"/>
    <w:rsid w:val="00037565"/>
    <w:rsid w:val="00043E66"/>
    <w:rsid w:val="0004553C"/>
    <w:rsid w:val="00047770"/>
    <w:rsid w:val="000546B3"/>
    <w:rsid w:val="0005499C"/>
    <w:rsid w:val="00054CFF"/>
    <w:rsid w:val="00056F23"/>
    <w:rsid w:val="00060C72"/>
    <w:rsid w:val="00073609"/>
    <w:rsid w:val="00082513"/>
    <w:rsid w:val="00093C3F"/>
    <w:rsid w:val="000949E9"/>
    <w:rsid w:val="0009768B"/>
    <w:rsid w:val="00097D61"/>
    <w:rsid w:val="000A17C6"/>
    <w:rsid w:val="000A27F9"/>
    <w:rsid w:val="000A69F1"/>
    <w:rsid w:val="000A6C32"/>
    <w:rsid w:val="000C3C3F"/>
    <w:rsid w:val="000C4BD5"/>
    <w:rsid w:val="000C5BDA"/>
    <w:rsid w:val="000C7C34"/>
    <w:rsid w:val="000D6C37"/>
    <w:rsid w:val="000E4398"/>
    <w:rsid w:val="000F2A0D"/>
    <w:rsid w:val="000F52DE"/>
    <w:rsid w:val="000F5A98"/>
    <w:rsid w:val="000F6287"/>
    <w:rsid w:val="0010069A"/>
    <w:rsid w:val="001040F8"/>
    <w:rsid w:val="0010680F"/>
    <w:rsid w:val="00110F2C"/>
    <w:rsid w:val="001118E5"/>
    <w:rsid w:val="00115D6E"/>
    <w:rsid w:val="00121F6D"/>
    <w:rsid w:val="0012580B"/>
    <w:rsid w:val="00126A36"/>
    <w:rsid w:val="0014010A"/>
    <w:rsid w:val="001412C1"/>
    <w:rsid w:val="001442B6"/>
    <w:rsid w:val="00153B4D"/>
    <w:rsid w:val="0015543C"/>
    <w:rsid w:val="0016005B"/>
    <w:rsid w:val="0016145B"/>
    <w:rsid w:val="001616A6"/>
    <w:rsid w:val="00161F2A"/>
    <w:rsid w:val="00163FEB"/>
    <w:rsid w:val="001646E8"/>
    <w:rsid w:val="001668EC"/>
    <w:rsid w:val="00167B86"/>
    <w:rsid w:val="0017203F"/>
    <w:rsid w:val="00173379"/>
    <w:rsid w:val="001749E7"/>
    <w:rsid w:val="00180F20"/>
    <w:rsid w:val="001826BE"/>
    <w:rsid w:val="0018338B"/>
    <w:rsid w:val="00184BA7"/>
    <w:rsid w:val="001866D4"/>
    <w:rsid w:val="00186E2C"/>
    <w:rsid w:val="001A04DD"/>
    <w:rsid w:val="001B20A8"/>
    <w:rsid w:val="001B39A3"/>
    <w:rsid w:val="001B45E0"/>
    <w:rsid w:val="001C092D"/>
    <w:rsid w:val="001C2019"/>
    <w:rsid w:val="001C6551"/>
    <w:rsid w:val="001D2714"/>
    <w:rsid w:val="001E0380"/>
    <w:rsid w:val="001F4276"/>
    <w:rsid w:val="00207DD9"/>
    <w:rsid w:val="00210039"/>
    <w:rsid w:val="00211EE7"/>
    <w:rsid w:val="002133F7"/>
    <w:rsid w:val="0021360F"/>
    <w:rsid w:val="00222613"/>
    <w:rsid w:val="002440BD"/>
    <w:rsid w:val="00246154"/>
    <w:rsid w:val="00265305"/>
    <w:rsid w:val="002658E9"/>
    <w:rsid w:val="00270DCD"/>
    <w:rsid w:val="00271492"/>
    <w:rsid w:val="0027441A"/>
    <w:rsid w:val="002744C2"/>
    <w:rsid w:val="002804D0"/>
    <w:rsid w:val="002804F4"/>
    <w:rsid w:val="0028098E"/>
    <w:rsid w:val="00280A17"/>
    <w:rsid w:val="002841DE"/>
    <w:rsid w:val="00286D47"/>
    <w:rsid w:val="00287AF9"/>
    <w:rsid w:val="0029030E"/>
    <w:rsid w:val="00290AE3"/>
    <w:rsid w:val="002A461B"/>
    <w:rsid w:val="002A4727"/>
    <w:rsid w:val="002A6AD7"/>
    <w:rsid w:val="002B25D7"/>
    <w:rsid w:val="002B3D8A"/>
    <w:rsid w:val="002B4FAE"/>
    <w:rsid w:val="002B5DC9"/>
    <w:rsid w:val="002B7A9B"/>
    <w:rsid w:val="002C2CF8"/>
    <w:rsid w:val="002D1260"/>
    <w:rsid w:val="002E1439"/>
    <w:rsid w:val="002E512F"/>
    <w:rsid w:val="002E7AEF"/>
    <w:rsid w:val="003006C4"/>
    <w:rsid w:val="0030367D"/>
    <w:rsid w:val="00307017"/>
    <w:rsid w:val="00316A6E"/>
    <w:rsid w:val="00316EBF"/>
    <w:rsid w:val="00322D95"/>
    <w:rsid w:val="003329F0"/>
    <w:rsid w:val="0036662F"/>
    <w:rsid w:val="00367D8B"/>
    <w:rsid w:val="00372BF4"/>
    <w:rsid w:val="00373F7A"/>
    <w:rsid w:val="003751FA"/>
    <w:rsid w:val="003825F0"/>
    <w:rsid w:val="003913F8"/>
    <w:rsid w:val="0039144D"/>
    <w:rsid w:val="00394B78"/>
    <w:rsid w:val="0039622B"/>
    <w:rsid w:val="003A3734"/>
    <w:rsid w:val="003B5719"/>
    <w:rsid w:val="003C1D3B"/>
    <w:rsid w:val="003C32D7"/>
    <w:rsid w:val="003C5275"/>
    <w:rsid w:val="003C573E"/>
    <w:rsid w:val="003C6F4D"/>
    <w:rsid w:val="003D0A37"/>
    <w:rsid w:val="003D3CB9"/>
    <w:rsid w:val="003D5E7A"/>
    <w:rsid w:val="003D6982"/>
    <w:rsid w:val="003D6F6C"/>
    <w:rsid w:val="003E193C"/>
    <w:rsid w:val="003E307A"/>
    <w:rsid w:val="003E5FF7"/>
    <w:rsid w:val="003E7455"/>
    <w:rsid w:val="003F4B2F"/>
    <w:rsid w:val="004007F4"/>
    <w:rsid w:val="00401481"/>
    <w:rsid w:val="00402F56"/>
    <w:rsid w:val="00410673"/>
    <w:rsid w:val="004130E9"/>
    <w:rsid w:val="00420893"/>
    <w:rsid w:val="00426AAD"/>
    <w:rsid w:val="0043020C"/>
    <w:rsid w:val="004303F9"/>
    <w:rsid w:val="00433170"/>
    <w:rsid w:val="004416EE"/>
    <w:rsid w:val="004509E6"/>
    <w:rsid w:val="004510F9"/>
    <w:rsid w:val="00451F38"/>
    <w:rsid w:val="00452673"/>
    <w:rsid w:val="00453425"/>
    <w:rsid w:val="004565B5"/>
    <w:rsid w:val="00461142"/>
    <w:rsid w:val="004615D1"/>
    <w:rsid w:val="00461BB3"/>
    <w:rsid w:val="00462BF3"/>
    <w:rsid w:val="00464D3C"/>
    <w:rsid w:val="00473814"/>
    <w:rsid w:val="004738CB"/>
    <w:rsid w:val="00475D0E"/>
    <w:rsid w:val="00483DC2"/>
    <w:rsid w:val="00484CEC"/>
    <w:rsid w:val="00486CFA"/>
    <w:rsid w:val="004900F6"/>
    <w:rsid w:val="0049208C"/>
    <w:rsid w:val="00493EAE"/>
    <w:rsid w:val="004A2596"/>
    <w:rsid w:val="004A34FA"/>
    <w:rsid w:val="004A4CC4"/>
    <w:rsid w:val="004B7C9A"/>
    <w:rsid w:val="004C234A"/>
    <w:rsid w:val="004C5645"/>
    <w:rsid w:val="004C6236"/>
    <w:rsid w:val="004D29FF"/>
    <w:rsid w:val="004E563C"/>
    <w:rsid w:val="004E7371"/>
    <w:rsid w:val="005047F6"/>
    <w:rsid w:val="0052075D"/>
    <w:rsid w:val="005214B7"/>
    <w:rsid w:val="00525350"/>
    <w:rsid w:val="00527C2B"/>
    <w:rsid w:val="00540EAB"/>
    <w:rsid w:val="00540F0D"/>
    <w:rsid w:val="005417A8"/>
    <w:rsid w:val="00547C1D"/>
    <w:rsid w:val="00550251"/>
    <w:rsid w:val="00555C12"/>
    <w:rsid w:val="005625A3"/>
    <w:rsid w:val="00562A57"/>
    <w:rsid w:val="00564743"/>
    <w:rsid w:val="00565955"/>
    <w:rsid w:val="00565C7C"/>
    <w:rsid w:val="0057033E"/>
    <w:rsid w:val="00575A51"/>
    <w:rsid w:val="00586707"/>
    <w:rsid w:val="00597251"/>
    <w:rsid w:val="005A1E9A"/>
    <w:rsid w:val="005A67B1"/>
    <w:rsid w:val="005A7223"/>
    <w:rsid w:val="005B011B"/>
    <w:rsid w:val="005B475A"/>
    <w:rsid w:val="005B6EBB"/>
    <w:rsid w:val="005C090D"/>
    <w:rsid w:val="005C3945"/>
    <w:rsid w:val="005C3FA2"/>
    <w:rsid w:val="005C636D"/>
    <w:rsid w:val="005D013A"/>
    <w:rsid w:val="005D4BEE"/>
    <w:rsid w:val="005D76C6"/>
    <w:rsid w:val="005F1FDB"/>
    <w:rsid w:val="00600759"/>
    <w:rsid w:val="00603880"/>
    <w:rsid w:val="00607C9C"/>
    <w:rsid w:val="006141A6"/>
    <w:rsid w:val="00617994"/>
    <w:rsid w:val="006207C1"/>
    <w:rsid w:val="00626D11"/>
    <w:rsid w:val="00636357"/>
    <w:rsid w:val="00636FDC"/>
    <w:rsid w:val="0064254D"/>
    <w:rsid w:val="0065004F"/>
    <w:rsid w:val="00651F15"/>
    <w:rsid w:val="00666255"/>
    <w:rsid w:val="006663C9"/>
    <w:rsid w:val="006736DD"/>
    <w:rsid w:val="00674B9C"/>
    <w:rsid w:val="00675E64"/>
    <w:rsid w:val="00676FFB"/>
    <w:rsid w:val="0068070D"/>
    <w:rsid w:val="006864ED"/>
    <w:rsid w:val="00690077"/>
    <w:rsid w:val="00692C1E"/>
    <w:rsid w:val="00693342"/>
    <w:rsid w:val="006970F1"/>
    <w:rsid w:val="006A2141"/>
    <w:rsid w:val="006A7325"/>
    <w:rsid w:val="006B4035"/>
    <w:rsid w:val="006B707D"/>
    <w:rsid w:val="006C5886"/>
    <w:rsid w:val="006D2A1B"/>
    <w:rsid w:val="006D51F1"/>
    <w:rsid w:val="006E717F"/>
    <w:rsid w:val="0070051E"/>
    <w:rsid w:val="00715328"/>
    <w:rsid w:val="007207EF"/>
    <w:rsid w:val="00724FB8"/>
    <w:rsid w:val="00727764"/>
    <w:rsid w:val="00741839"/>
    <w:rsid w:val="00752B94"/>
    <w:rsid w:val="00760F24"/>
    <w:rsid w:val="00767CAD"/>
    <w:rsid w:val="007828CD"/>
    <w:rsid w:val="007860F3"/>
    <w:rsid w:val="007931AA"/>
    <w:rsid w:val="007947C1"/>
    <w:rsid w:val="00794BB7"/>
    <w:rsid w:val="00795397"/>
    <w:rsid w:val="0079637C"/>
    <w:rsid w:val="007A01E1"/>
    <w:rsid w:val="007A0525"/>
    <w:rsid w:val="007A0C48"/>
    <w:rsid w:val="007A2E22"/>
    <w:rsid w:val="007D30C3"/>
    <w:rsid w:val="007D32CB"/>
    <w:rsid w:val="007E00C9"/>
    <w:rsid w:val="007E2812"/>
    <w:rsid w:val="007E788A"/>
    <w:rsid w:val="007F506A"/>
    <w:rsid w:val="007F5497"/>
    <w:rsid w:val="00801082"/>
    <w:rsid w:val="00801CE0"/>
    <w:rsid w:val="00802120"/>
    <w:rsid w:val="00806271"/>
    <w:rsid w:val="00812F26"/>
    <w:rsid w:val="00813D4E"/>
    <w:rsid w:val="00814725"/>
    <w:rsid w:val="00824019"/>
    <w:rsid w:val="00827814"/>
    <w:rsid w:val="00831632"/>
    <w:rsid w:val="00835935"/>
    <w:rsid w:val="00835B20"/>
    <w:rsid w:val="008371DE"/>
    <w:rsid w:val="00837CE2"/>
    <w:rsid w:val="00842180"/>
    <w:rsid w:val="008423F5"/>
    <w:rsid w:val="008426D4"/>
    <w:rsid w:val="00847C5B"/>
    <w:rsid w:val="0085295E"/>
    <w:rsid w:val="0086131D"/>
    <w:rsid w:val="00862AB4"/>
    <w:rsid w:val="008654CE"/>
    <w:rsid w:val="008676A7"/>
    <w:rsid w:val="00871E8D"/>
    <w:rsid w:val="00874500"/>
    <w:rsid w:val="00876D13"/>
    <w:rsid w:val="00881992"/>
    <w:rsid w:val="00886852"/>
    <w:rsid w:val="00891953"/>
    <w:rsid w:val="00893A23"/>
    <w:rsid w:val="008A6CB1"/>
    <w:rsid w:val="008B15CC"/>
    <w:rsid w:val="008B1FF5"/>
    <w:rsid w:val="008B2CCD"/>
    <w:rsid w:val="008B4D63"/>
    <w:rsid w:val="008B6E47"/>
    <w:rsid w:val="008C1BB5"/>
    <w:rsid w:val="008C367A"/>
    <w:rsid w:val="008C3719"/>
    <w:rsid w:val="008D1CC5"/>
    <w:rsid w:val="008D6E5D"/>
    <w:rsid w:val="008E42EE"/>
    <w:rsid w:val="008E70B6"/>
    <w:rsid w:val="008F03CF"/>
    <w:rsid w:val="00900DF9"/>
    <w:rsid w:val="00904090"/>
    <w:rsid w:val="00905274"/>
    <w:rsid w:val="00905343"/>
    <w:rsid w:val="009054BA"/>
    <w:rsid w:val="00916501"/>
    <w:rsid w:val="009167E4"/>
    <w:rsid w:val="00920004"/>
    <w:rsid w:val="009207CC"/>
    <w:rsid w:val="00923432"/>
    <w:rsid w:val="0092693D"/>
    <w:rsid w:val="00930F50"/>
    <w:rsid w:val="00932B90"/>
    <w:rsid w:val="00942112"/>
    <w:rsid w:val="00942C4D"/>
    <w:rsid w:val="00944E1D"/>
    <w:rsid w:val="00954EB0"/>
    <w:rsid w:val="00955E32"/>
    <w:rsid w:val="00965313"/>
    <w:rsid w:val="00970FF1"/>
    <w:rsid w:val="009765FB"/>
    <w:rsid w:val="00977A64"/>
    <w:rsid w:val="00977ED8"/>
    <w:rsid w:val="00982B6E"/>
    <w:rsid w:val="00983369"/>
    <w:rsid w:val="00984BF8"/>
    <w:rsid w:val="009854DF"/>
    <w:rsid w:val="00986042"/>
    <w:rsid w:val="00986A26"/>
    <w:rsid w:val="009924BB"/>
    <w:rsid w:val="00993974"/>
    <w:rsid w:val="009A05A3"/>
    <w:rsid w:val="009A2398"/>
    <w:rsid w:val="009A3270"/>
    <w:rsid w:val="009B7491"/>
    <w:rsid w:val="009C1B9A"/>
    <w:rsid w:val="009C2DE5"/>
    <w:rsid w:val="009C789B"/>
    <w:rsid w:val="009C7AA5"/>
    <w:rsid w:val="009D0434"/>
    <w:rsid w:val="009D0483"/>
    <w:rsid w:val="009D0D09"/>
    <w:rsid w:val="009D28D0"/>
    <w:rsid w:val="009D3CC5"/>
    <w:rsid w:val="009D4376"/>
    <w:rsid w:val="009D701E"/>
    <w:rsid w:val="009D7A38"/>
    <w:rsid w:val="009D7F34"/>
    <w:rsid w:val="009E268A"/>
    <w:rsid w:val="009F1C9B"/>
    <w:rsid w:val="009F2BAA"/>
    <w:rsid w:val="009F695A"/>
    <w:rsid w:val="00A04882"/>
    <w:rsid w:val="00A125FE"/>
    <w:rsid w:val="00A12E20"/>
    <w:rsid w:val="00A16CDB"/>
    <w:rsid w:val="00A20011"/>
    <w:rsid w:val="00A21244"/>
    <w:rsid w:val="00A23214"/>
    <w:rsid w:val="00A2395F"/>
    <w:rsid w:val="00A24768"/>
    <w:rsid w:val="00A3666E"/>
    <w:rsid w:val="00A417C3"/>
    <w:rsid w:val="00A419B7"/>
    <w:rsid w:val="00A4515D"/>
    <w:rsid w:val="00A510A5"/>
    <w:rsid w:val="00A52B1B"/>
    <w:rsid w:val="00A574A6"/>
    <w:rsid w:val="00A57FE8"/>
    <w:rsid w:val="00A63937"/>
    <w:rsid w:val="00A661BC"/>
    <w:rsid w:val="00A70470"/>
    <w:rsid w:val="00A72889"/>
    <w:rsid w:val="00A76196"/>
    <w:rsid w:val="00A77AE2"/>
    <w:rsid w:val="00A91AD2"/>
    <w:rsid w:val="00A923FF"/>
    <w:rsid w:val="00AA6483"/>
    <w:rsid w:val="00AB0DA4"/>
    <w:rsid w:val="00AB245C"/>
    <w:rsid w:val="00AB6046"/>
    <w:rsid w:val="00AB6712"/>
    <w:rsid w:val="00AD00B7"/>
    <w:rsid w:val="00AD3925"/>
    <w:rsid w:val="00AD3C58"/>
    <w:rsid w:val="00AD3F1C"/>
    <w:rsid w:val="00AD712E"/>
    <w:rsid w:val="00AE23CC"/>
    <w:rsid w:val="00AF4F07"/>
    <w:rsid w:val="00B052AB"/>
    <w:rsid w:val="00B06C85"/>
    <w:rsid w:val="00B13B4A"/>
    <w:rsid w:val="00B22F8B"/>
    <w:rsid w:val="00B2455B"/>
    <w:rsid w:val="00B31205"/>
    <w:rsid w:val="00B322E7"/>
    <w:rsid w:val="00B35953"/>
    <w:rsid w:val="00B4014A"/>
    <w:rsid w:val="00B40C66"/>
    <w:rsid w:val="00B4344F"/>
    <w:rsid w:val="00B45F63"/>
    <w:rsid w:val="00B53582"/>
    <w:rsid w:val="00B5420B"/>
    <w:rsid w:val="00B54681"/>
    <w:rsid w:val="00B705B6"/>
    <w:rsid w:val="00B73868"/>
    <w:rsid w:val="00B750C5"/>
    <w:rsid w:val="00B75502"/>
    <w:rsid w:val="00B75AB9"/>
    <w:rsid w:val="00B775BB"/>
    <w:rsid w:val="00B80F82"/>
    <w:rsid w:val="00B86D9D"/>
    <w:rsid w:val="00B8782D"/>
    <w:rsid w:val="00B91697"/>
    <w:rsid w:val="00B949EF"/>
    <w:rsid w:val="00B9533B"/>
    <w:rsid w:val="00B955B7"/>
    <w:rsid w:val="00B95E40"/>
    <w:rsid w:val="00BA031A"/>
    <w:rsid w:val="00BB22A9"/>
    <w:rsid w:val="00BB5551"/>
    <w:rsid w:val="00BB6144"/>
    <w:rsid w:val="00BC203C"/>
    <w:rsid w:val="00BC3570"/>
    <w:rsid w:val="00BC753D"/>
    <w:rsid w:val="00BD7DC5"/>
    <w:rsid w:val="00BE19F6"/>
    <w:rsid w:val="00BE445A"/>
    <w:rsid w:val="00BE4C34"/>
    <w:rsid w:val="00BF4627"/>
    <w:rsid w:val="00BF4B36"/>
    <w:rsid w:val="00BF7C72"/>
    <w:rsid w:val="00C01EC4"/>
    <w:rsid w:val="00C0339D"/>
    <w:rsid w:val="00C045BD"/>
    <w:rsid w:val="00C0562A"/>
    <w:rsid w:val="00C10291"/>
    <w:rsid w:val="00C103E5"/>
    <w:rsid w:val="00C157DC"/>
    <w:rsid w:val="00C15CE1"/>
    <w:rsid w:val="00C1792C"/>
    <w:rsid w:val="00C25DBF"/>
    <w:rsid w:val="00C262CE"/>
    <w:rsid w:val="00C40E62"/>
    <w:rsid w:val="00C42470"/>
    <w:rsid w:val="00C45E68"/>
    <w:rsid w:val="00C51DC4"/>
    <w:rsid w:val="00C5346B"/>
    <w:rsid w:val="00C54DDC"/>
    <w:rsid w:val="00C65E45"/>
    <w:rsid w:val="00C67BD9"/>
    <w:rsid w:val="00C732FC"/>
    <w:rsid w:val="00C853C6"/>
    <w:rsid w:val="00C87797"/>
    <w:rsid w:val="00C94B61"/>
    <w:rsid w:val="00C96E53"/>
    <w:rsid w:val="00CA40FD"/>
    <w:rsid w:val="00CA4283"/>
    <w:rsid w:val="00CA6514"/>
    <w:rsid w:val="00CB6D34"/>
    <w:rsid w:val="00CC252A"/>
    <w:rsid w:val="00CC56E6"/>
    <w:rsid w:val="00CD7399"/>
    <w:rsid w:val="00CF4933"/>
    <w:rsid w:val="00CF5414"/>
    <w:rsid w:val="00CF7552"/>
    <w:rsid w:val="00D06557"/>
    <w:rsid w:val="00D07915"/>
    <w:rsid w:val="00D2307C"/>
    <w:rsid w:val="00D24DF3"/>
    <w:rsid w:val="00D26E69"/>
    <w:rsid w:val="00D300D8"/>
    <w:rsid w:val="00D31A80"/>
    <w:rsid w:val="00D3540B"/>
    <w:rsid w:val="00D369E0"/>
    <w:rsid w:val="00D42280"/>
    <w:rsid w:val="00D43ADE"/>
    <w:rsid w:val="00D44713"/>
    <w:rsid w:val="00D61345"/>
    <w:rsid w:val="00D65889"/>
    <w:rsid w:val="00D70C9D"/>
    <w:rsid w:val="00D74EEC"/>
    <w:rsid w:val="00D75118"/>
    <w:rsid w:val="00D7597C"/>
    <w:rsid w:val="00D82EEA"/>
    <w:rsid w:val="00D83664"/>
    <w:rsid w:val="00D838D8"/>
    <w:rsid w:val="00D87C3F"/>
    <w:rsid w:val="00D904F9"/>
    <w:rsid w:val="00D908C4"/>
    <w:rsid w:val="00D94AEA"/>
    <w:rsid w:val="00DA272F"/>
    <w:rsid w:val="00DA52C5"/>
    <w:rsid w:val="00DB05B3"/>
    <w:rsid w:val="00DC7C1A"/>
    <w:rsid w:val="00DD67F0"/>
    <w:rsid w:val="00DE681E"/>
    <w:rsid w:val="00DE6FC6"/>
    <w:rsid w:val="00DF6236"/>
    <w:rsid w:val="00E012DD"/>
    <w:rsid w:val="00E02EAA"/>
    <w:rsid w:val="00E034AC"/>
    <w:rsid w:val="00E0734F"/>
    <w:rsid w:val="00E10D4E"/>
    <w:rsid w:val="00E13A7D"/>
    <w:rsid w:val="00E13AFC"/>
    <w:rsid w:val="00E17BBA"/>
    <w:rsid w:val="00E2273A"/>
    <w:rsid w:val="00E26891"/>
    <w:rsid w:val="00E27E9D"/>
    <w:rsid w:val="00E41709"/>
    <w:rsid w:val="00E45B35"/>
    <w:rsid w:val="00E46621"/>
    <w:rsid w:val="00E468D8"/>
    <w:rsid w:val="00E555C9"/>
    <w:rsid w:val="00E613E0"/>
    <w:rsid w:val="00E62494"/>
    <w:rsid w:val="00E65312"/>
    <w:rsid w:val="00E70188"/>
    <w:rsid w:val="00E753D0"/>
    <w:rsid w:val="00E8104B"/>
    <w:rsid w:val="00E847DC"/>
    <w:rsid w:val="00E85133"/>
    <w:rsid w:val="00E852D8"/>
    <w:rsid w:val="00E903E1"/>
    <w:rsid w:val="00E91C16"/>
    <w:rsid w:val="00E96619"/>
    <w:rsid w:val="00EA1B58"/>
    <w:rsid w:val="00EA471A"/>
    <w:rsid w:val="00EA4C64"/>
    <w:rsid w:val="00EA6B46"/>
    <w:rsid w:val="00EB0E2C"/>
    <w:rsid w:val="00EB3D8D"/>
    <w:rsid w:val="00EB571C"/>
    <w:rsid w:val="00EB5C5D"/>
    <w:rsid w:val="00EC4620"/>
    <w:rsid w:val="00EC4EEA"/>
    <w:rsid w:val="00ED50ED"/>
    <w:rsid w:val="00EE07F6"/>
    <w:rsid w:val="00EE19B5"/>
    <w:rsid w:val="00EE1FBE"/>
    <w:rsid w:val="00EE2BAF"/>
    <w:rsid w:val="00EF2C81"/>
    <w:rsid w:val="00EF592D"/>
    <w:rsid w:val="00EF5AE0"/>
    <w:rsid w:val="00EF6950"/>
    <w:rsid w:val="00F01795"/>
    <w:rsid w:val="00F06544"/>
    <w:rsid w:val="00F14662"/>
    <w:rsid w:val="00F21F7E"/>
    <w:rsid w:val="00F22625"/>
    <w:rsid w:val="00F22BD5"/>
    <w:rsid w:val="00F22EE4"/>
    <w:rsid w:val="00F233D3"/>
    <w:rsid w:val="00F23657"/>
    <w:rsid w:val="00F252B1"/>
    <w:rsid w:val="00F30772"/>
    <w:rsid w:val="00F313D7"/>
    <w:rsid w:val="00F35A4F"/>
    <w:rsid w:val="00F4343D"/>
    <w:rsid w:val="00F54231"/>
    <w:rsid w:val="00F5631B"/>
    <w:rsid w:val="00F567FE"/>
    <w:rsid w:val="00F63895"/>
    <w:rsid w:val="00F64696"/>
    <w:rsid w:val="00F673D4"/>
    <w:rsid w:val="00F72056"/>
    <w:rsid w:val="00F72C8F"/>
    <w:rsid w:val="00F76906"/>
    <w:rsid w:val="00F81E1B"/>
    <w:rsid w:val="00F828A6"/>
    <w:rsid w:val="00F86067"/>
    <w:rsid w:val="00F9150F"/>
    <w:rsid w:val="00FA17D7"/>
    <w:rsid w:val="00FA4AB4"/>
    <w:rsid w:val="00FA791E"/>
    <w:rsid w:val="00FB0E12"/>
    <w:rsid w:val="00FB4539"/>
    <w:rsid w:val="00FC25EB"/>
    <w:rsid w:val="00FC6A4C"/>
    <w:rsid w:val="00FD05FE"/>
    <w:rsid w:val="00FD7FD7"/>
    <w:rsid w:val="00FE12FF"/>
    <w:rsid w:val="00FE2AE5"/>
    <w:rsid w:val="00FF3DBB"/>
    <w:rsid w:val="00FF5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8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41A"/>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rsid w:val="00BC0D6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C0D6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C0D6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BC0D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D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0D6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D6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C0D6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C0D6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C0D6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C0D6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C0D68"/>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rsid w:val="00BC0D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C0D6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C0D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0D68"/>
    <w:rPr>
      <w:i/>
      <w:iCs/>
      <w:color w:val="404040" w:themeColor="text1" w:themeTint="BF"/>
    </w:rPr>
  </w:style>
  <w:style w:type="paragraph" w:styleId="ListParagraph">
    <w:name w:val="List Paragraph"/>
    <w:basedOn w:val="Normal"/>
    <w:uiPriority w:val="34"/>
    <w:qFormat/>
    <w:rsid w:val="00BC0D68"/>
    <w:pPr>
      <w:ind w:left="720"/>
      <w:contextualSpacing/>
    </w:pPr>
  </w:style>
  <w:style w:type="character" w:styleId="IntenseEmphasis">
    <w:name w:val="Intense Emphasis"/>
    <w:basedOn w:val="DefaultParagraphFont"/>
    <w:uiPriority w:val="21"/>
    <w:qFormat/>
    <w:rsid w:val="00BC0D68"/>
    <w:rPr>
      <w:i/>
      <w:iCs/>
      <w:color w:val="0F4761" w:themeColor="accent1" w:themeShade="BF"/>
    </w:rPr>
  </w:style>
  <w:style w:type="paragraph" w:styleId="IntenseQuote">
    <w:name w:val="Intense Quote"/>
    <w:basedOn w:val="Normal"/>
    <w:next w:val="Normal"/>
    <w:link w:val="IntenseQuoteChar"/>
    <w:uiPriority w:val="30"/>
    <w:qFormat/>
    <w:rsid w:val="00BC0D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D68"/>
    <w:rPr>
      <w:i/>
      <w:iCs/>
      <w:color w:val="0F4761" w:themeColor="accent1" w:themeShade="BF"/>
    </w:rPr>
  </w:style>
  <w:style w:type="character" w:styleId="IntenseReference">
    <w:name w:val="Intense Reference"/>
    <w:basedOn w:val="DefaultParagraphFont"/>
    <w:uiPriority w:val="32"/>
    <w:qFormat/>
    <w:rsid w:val="00BC0D68"/>
    <w:rPr>
      <w:b/>
      <w:bCs/>
      <w:smallCaps/>
      <w:color w:val="0F4761" w:themeColor="accent1" w:themeShade="BF"/>
      <w:spacing w:val="5"/>
    </w:rPr>
  </w:style>
  <w:style w:type="character" w:styleId="CommentReference">
    <w:name w:val="annotation reference"/>
    <w:basedOn w:val="DefaultParagraphFont"/>
    <w:uiPriority w:val="99"/>
    <w:semiHidden/>
    <w:unhideWhenUsed/>
    <w:rsid w:val="00247E27"/>
    <w:rPr>
      <w:sz w:val="16"/>
      <w:szCs w:val="16"/>
    </w:rPr>
  </w:style>
  <w:style w:type="paragraph" w:styleId="CommentText">
    <w:name w:val="annotation text"/>
    <w:basedOn w:val="Normal"/>
    <w:link w:val="CommentTextChar"/>
    <w:uiPriority w:val="99"/>
    <w:unhideWhenUsed/>
    <w:rsid w:val="00247E27"/>
    <w:rPr>
      <w:sz w:val="20"/>
      <w:szCs w:val="20"/>
    </w:rPr>
  </w:style>
  <w:style w:type="character" w:customStyle="1" w:styleId="CommentTextChar">
    <w:name w:val="Comment Text Char"/>
    <w:basedOn w:val="DefaultParagraphFont"/>
    <w:link w:val="CommentText"/>
    <w:uiPriority w:val="99"/>
    <w:rsid w:val="00247E27"/>
    <w:rPr>
      <w:rFonts w:eastAsia="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247E27"/>
    <w:rPr>
      <w:b/>
      <w:bCs/>
    </w:rPr>
  </w:style>
  <w:style w:type="character" w:customStyle="1" w:styleId="CommentSubjectChar">
    <w:name w:val="Comment Subject Char"/>
    <w:basedOn w:val="CommentTextChar"/>
    <w:link w:val="CommentSubject"/>
    <w:uiPriority w:val="99"/>
    <w:semiHidden/>
    <w:rsid w:val="00247E27"/>
    <w:rPr>
      <w:rFonts w:eastAsia="Times New Roman" w:cs="Times New Roman"/>
      <w:b/>
      <w:bCs/>
      <w:kern w:val="0"/>
      <w:sz w:val="20"/>
      <w:szCs w:val="20"/>
    </w:rPr>
  </w:style>
  <w:style w:type="paragraph" w:styleId="Subtitle">
    <w:name w:val="Subtitle"/>
    <w:basedOn w:val="Normal"/>
    <w:next w:val="Normal"/>
    <w:link w:val="SubtitleChar"/>
    <w:uiPriority w:val="11"/>
    <w:qFormat/>
    <w:pPr>
      <w:spacing w:after="160"/>
    </w:pPr>
    <w:rPr>
      <w:rFonts w:ascii="Aptos" w:eastAsia="Aptos" w:hAnsi="Aptos" w:cs="Aptos"/>
      <w:color w:val="595959"/>
      <w:sz w:val="28"/>
      <w:szCs w:val="28"/>
    </w:rPr>
  </w:style>
  <w:style w:type="paragraph" w:styleId="Header">
    <w:name w:val="header"/>
    <w:basedOn w:val="Normal"/>
    <w:link w:val="HeaderChar"/>
    <w:uiPriority w:val="99"/>
    <w:unhideWhenUsed/>
    <w:rsid w:val="00A510A5"/>
    <w:pPr>
      <w:tabs>
        <w:tab w:val="center" w:pos="4680"/>
        <w:tab w:val="right" w:pos="9360"/>
      </w:tabs>
    </w:pPr>
  </w:style>
  <w:style w:type="character" w:customStyle="1" w:styleId="HeaderChar">
    <w:name w:val="Header Char"/>
    <w:basedOn w:val="DefaultParagraphFont"/>
    <w:link w:val="Header"/>
    <w:uiPriority w:val="99"/>
    <w:rsid w:val="00A510A5"/>
  </w:style>
  <w:style w:type="paragraph" w:styleId="Footer">
    <w:name w:val="footer"/>
    <w:basedOn w:val="Normal"/>
    <w:link w:val="FooterChar"/>
    <w:uiPriority w:val="99"/>
    <w:unhideWhenUsed/>
    <w:rsid w:val="00A510A5"/>
    <w:pPr>
      <w:tabs>
        <w:tab w:val="center" w:pos="4680"/>
        <w:tab w:val="right" w:pos="9360"/>
      </w:tabs>
    </w:pPr>
  </w:style>
  <w:style w:type="character" w:customStyle="1" w:styleId="FooterChar">
    <w:name w:val="Footer Char"/>
    <w:basedOn w:val="DefaultParagraphFont"/>
    <w:link w:val="Footer"/>
    <w:uiPriority w:val="99"/>
    <w:rsid w:val="00A510A5"/>
  </w:style>
  <w:style w:type="paragraph" w:styleId="Caption">
    <w:name w:val="caption"/>
    <w:basedOn w:val="Normal"/>
    <w:next w:val="Normal"/>
    <w:autoRedefine/>
    <w:unhideWhenUsed/>
    <w:qFormat/>
    <w:rsid w:val="003D6F6C"/>
    <w:pPr>
      <w:keepLines/>
      <w:spacing w:line="480" w:lineRule="auto"/>
    </w:pPr>
    <w:rPr>
      <w:b/>
      <w:bCs/>
      <w:noProof/>
      <w:lang w:val="en-US"/>
    </w:rPr>
  </w:style>
  <w:style w:type="paragraph" w:styleId="Revision">
    <w:name w:val="Revision"/>
    <w:hidden/>
    <w:uiPriority w:val="99"/>
    <w:semiHidden/>
    <w:rsid w:val="000A27F9"/>
  </w:style>
  <w:style w:type="character" w:styleId="Hyperlink">
    <w:name w:val="Hyperlink"/>
    <w:basedOn w:val="DefaultParagraphFont"/>
    <w:uiPriority w:val="99"/>
    <w:unhideWhenUsed/>
    <w:rsid w:val="001616A6"/>
    <w:rPr>
      <w:color w:val="467886" w:themeColor="hyperlink"/>
      <w:u w:val="single"/>
    </w:rPr>
  </w:style>
  <w:style w:type="character" w:styleId="UnresolvedMention">
    <w:name w:val="Unresolved Mention"/>
    <w:basedOn w:val="DefaultParagraphFont"/>
    <w:uiPriority w:val="99"/>
    <w:semiHidden/>
    <w:unhideWhenUsed/>
    <w:rsid w:val="001616A6"/>
    <w:rPr>
      <w:color w:val="605E5C"/>
      <w:shd w:val="clear" w:color="auto" w:fill="E1DFDD"/>
    </w:rPr>
  </w:style>
  <w:style w:type="paragraph" w:styleId="NormalWeb">
    <w:name w:val="Normal (Web)"/>
    <w:basedOn w:val="Normal"/>
    <w:uiPriority w:val="99"/>
    <w:unhideWhenUsed/>
    <w:rsid w:val="00F673D4"/>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jlet.org/4.4.3" TargetMode="External"/><Relationship Id="rId18" Type="http://schemas.openxmlformats.org/officeDocument/2006/relationships/hyperlink" Target="https://www.agdaily.com/insights/making-black-herstory-women-in-agricultu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07/s10796-022-10308-y" TargetMode="External"/><Relationship Id="rId17" Type="http://schemas.openxmlformats.org/officeDocument/2006/relationships/hyperlink" Target="https://scholarworks.waldenu.edu/dissertations/15853" TargetMode="External"/><Relationship Id="rId2" Type="http://schemas.openxmlformats.org/officeDocument/2006/relationships/numbering" Target="numbering.xml"/><Relationship Id="rId16" Type="http://schemas.openxmlformats.org/officeDocument/2006/relationships/hyperlink" Target="https://doi.org/10.3390/ijerph2005461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511/ppm.19(3).2021.37" TargetMode="External"/><Relationship Id="rId5" Type="http://schemas.openxmlformats.org/officeDocument/2006/relationships/webSettings" Target="webSettings.xml"/><Relationship Id="rId15" Type="http://schemas.openxmlformats.org/officeDocument/2006/relationships/hyperlink" Target="https://doi.org/10.1016/j.jrurstud.2022.09.016" TargetMode="External"/><Relationship Id="rId10" Type="http://schemas.openxmlformats.org/officeDocument/2006/relationships/hyperlink" Target="https://doi.org/10.5032/jae.2021.02039" TargetMode="External"/><Relationship Id="rId19" Type="http://schemas.openxmlformats.org/officeDocument/2006/relationships/hyperlink" Target="https://www.stemconnector.com/download-resource/state-of-stem-challenges-and-opportunities/" TargetMode="External"/><Relationship Id="rId4" Type="http://schemas.openxmlformats.org/officeDocument/2006/relationships/settings" Target="settings.xml"/><Relationship Id="rId9" Type="http://schemas.openxmlformats.org/officeDocument/2006/relationships/hyperlink" Target="https://doi.org/10.1080/19407882.2017.1331854" TargetMode="External"/><Relationship Id="rId14" Type="http://schemas.openxmlformats.org/officeDocument/2006/relationships/hyperlink" Target="https://doi.org/10.1094/PDIS-11-17-1845-FE"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Kiq5rZW1IRtjEciQrmZgXIlVeQ==">CgMxLjAyDmgub3JsbjF4Y2dxNXR0OAByITFQc3p4NFRwaWhjT0FIVGVyOUlqSWxET2J2WE9mbzc0RQ==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7388</Words>
  <Characters>49500</Characters>
  <Application>Microsoft Office Word</Application>
  <DocSecurity>0</DocSecurity>
  <Lines>773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2026-04-01T17:11:00Z</dcterms:created>
  <dcterms:modified xsi:type="dcterms:W3CDTF">2026-04-01T17:20:00Z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2677aba3-c522-4267-b1a9-2577dc6f9e3d</vt:lpwstr>
  </property>
</Properties>
</file>