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83850" w14:textId="1CD88534" w:rsidR="004D3E58" w:rsidRDefault="00441A66" w:rsidP="69EDCCEE">
      <w:pPr>
        <w:pStyle w:val="paragraph"/>
        <w:spacing w:before="0" w:beforeAutospacing="0" w:after="0" w:afterAutospacing="0"/>
        <w:jc w:val="center"/>
        <w:textAlignment w:val="baseline"/>
        <w:rPr>
          <w:b/>
          <w:bCs/>
        </w:rPr>
      </w:pPr>
      <w:r w:rsidRPr="69EDCCEE">
        <w:rPr>
          <w:b/>
          <w:bCs/>
        </w:rPr>
        <w:t xml:space="preserve">Enhancing Preservice SBAE Teacher Readiness Through the </w:t>
      </w:r>
      <w:r w:rsidR="0757B8A8" w:rsidRPr="69EDCCEE">
        <w:rPr>
          <w:b/>
          <w:bCs/>
        </w:rPr>
        <w:t>Bobcat Classroom</w:t>
      </w:r>
    </w:p>
    <w:p w14:paraId="5B05B9A5" w14:textId="313E9038" w:rsidR="004D3E58" w:rsidRDefault="004D3E58" w:rsidP="3E9CF8CC">
      <w:pPr>
        <w:pStyle w:val="paragraph"/>
        <w:spacing w:before="0" w:beforeAutospacing="0" w:after="0" w:afterAutospacing="0"/>
        <w:jc w:val="center"/>
        <w:textAlignment w:val="baseline"/>
        <w:rPr>
          <w:b/>
          <w:bCs/>
        </w:rPr>
      </w:pPr>
    </w:p>
    <w:p w14:paraId="14FBC774" w14:textId="7A5AF95D" w:rsidR="00B11AEC" w:rsidRDefault="00B11AEC" w:rsidP="00B11AEC">
      <w:pPr>
        <w:pStyle w:val="paragraph"/>
        <w:spacing w:before="0" w:beforeAutospacing="0" w:after="0" w:afterAutospacing="0"/>
        <w:jc w:val="center"/>
        <w:textAlignment w:val="baseline"/>
        <w:rPr>
          <w:rStyle w:val="eop"/>
        </w:rPr>
      </w:pPr>
      <w:r>
        <w:rPr>
          <w:rStyle w:val="normaltextrun"/>
          <w:b/>
          <w:bCs/>
        </w:rPr>
        <w:t>Introduction/Need for I</w:t>
      </w:r>
      <w:r w:rsidR="008777F1">
        <w:rPr>
          <w:rStyle w:val="normaltextrun"/>
          <w:b/>
          <w:bCs/>
        </w:rPr>
        <w:t>nnovative Idea</w:t>
      </w:r>
    </w:p>
    <w:p w14:paraId="59B4EC30" w14:textId="0CD5CA47" w:rsidR="00B11AEC" w:rsidRDefault="00B11AEC" w:rsidP="00B11AEC">
      <w:pPr>
        <w:pStyle w:val="paragraph"/>
        <w:spacing w:before="0" w:beforeAutospacing="0" w:after="0" w:afterAutospacing="0"/>
        <w:ind w:firstLine="720"/>
        <w:textAlignment w:val="baseline"/>
        <w:rPr>
          <w:rFonts w:ascii="Segoe UI" w:hAnsi="Segoe UI" w:cs="Segoe UI"/>
          <w:sz w:val="18"/>
          <w:szCs w:val="18"/>
        </w:rPr>
      </w:pPr>
    </w:p>
    <w:p w14:paraId="3E67DCFF" w14:textId="77777777" w:rsidR="00895148" w:rsidRDefault="00895148" w:rsidP="008D3EF3">
      <w:pPr>
        <w:pStyle w:val="paragraph"/>
        <w:spacing w:before="0" w:beforeAutospacing="0" w:after="0" w:afterAutospacing="0"/>
        <w:ind w:firstLine="720"/>
        <w:textAlignment w:val="baseline"/>
      </w:pPr>
      <w:r w:rsidRPr="00895148">
        <w:t xml:space="preserve">School-based agricultural education (SBAE) places unique and complex demands on teachers, requiring them to integrate classroom and laboratory instruction, supervise Supervised Agricultural Experiences (SAEs), and advise FFA programs while maintaining strong technical and pedagogical competence (Rankin et al., 2025; Rubenstein et al., 2014). Research consistently indicates that preservice SBAE teachers often enter student teaching and the profession feeling underprepared for these multifaceted responsibilities, particularly in areas requiring hands-on instruction, classroom management, and real-time instructional decision making (Brown et al., 2015; Brown et al., 2019; Wells et al., 2019). Early, authentic teaching experiences have been identified as a critical mechanism for strengthening preservice teachers’ self-efficacy, confidence, and readiness to teach (Bandura, 1986; Kolb, 1984; Williams &amp; </w:t>
      </w:r>
      <w:proofErr w:type="spellStart"/>
      <w:r w:rsidRPr="00895148">
        <w:t>Sembiante</w:t>
      </w:r>
      <w:proofErr w:type="spellEnd"/>
      <w:r w:rsidRPr="00895148">
        <w:t>, 2022).</w:t>
      </w:r>
    </w:p>
    <w:p w14:paraId="459D377E" w14:textId="77777777" w:rsidR="008C6DBB" w:rsidRPr="00895148" w:rsidRDefault="008C6DBB" w:rsidP="008D3EF3">
      <w:pPr>
        <w:pStyle w:val="paragraph"/>
        <w:spacing w:before="0" w:beforeAutospacing="0" w:after="0" w:afterAutospacing="0"/>
        <w:ind w:firstLine="720"/>
        <w:textAlignment w:val="baseline"/>
      </w:pPr>
    </w:p>
    <w:p w14:paraId="3195F6A2" w14:textId="18E064ED" w:rsidR="00895148" w:rsidRPr="00895148" w:rsidRDefault="00895148" w:rsidP="69EDCCEE">
      <w:pPr>
        <w:pStyle w:val="paragraph"/>
        <w:spacing w:before="0" w:beforeAutospacing="0" w:after="0" w:afterAutospacing="0"/>
        <w:ind w:firstLine="720"/>
        <w:textAlignment w:val="baseline"/>
      </w:pPr>
      <w:r>
        <w:t xml:space="preserve">The </w:t>
      </w:r>
      <w:r w:rsidR="351DF3F2">
        <w:t>Bobcat Classroom</w:t>
      </w:r>
      <w:r>
        <w:t xml:space="preserve"> experience was developed to address this need by providing preservice SBAE teachers with structured, authentic teaching opportunities prior to student teaching (Toombs et al., 2022; Stewart et al., 2025). Grounded in Social Cognitive Theory and Experiential Learning Theory, this innovative, community- and school-based instructional experience emphasizes learning by doing, reflective practice, and mentorship (Bandura, 1986; Kolb, 1984). By engaging preservice teachers in real classroom instruction with secondary agriculture students, </w:t>
      </w:r>
      <w:r w:rsidR="1A878B4E">
        <w:t>Bobcat Classroom</w:t>
      </w:r>
      <w:r>
        <w:t xml:space="preserve"> seeks to bridge the gap between university coursework and the realities of SBAE teaching.</w:t>
      </w:r>
      <w:r w:rsidR="00621A44">
        <w:t xml:space="preserve"> </w:t>
      </w:r>
      <w:r w:rsidR="00E13878">
        <w:t>Previous programming by other states motivated this idea.</w:t>
      </w:r>
    </w:p>
    <w:p w14:paraId="440ED970" w14:textId="2BEAEA90" w:rsidR="00B11AEC" w:rsidRDefault="00B11AEC" w:rsidP="00B11AEC">
      <w:pPr>
        <w:pStyle w:val="paragraph"/>
        <w:spacing w:before="0" w:beforeAutospacing="0" w:after="0" w:afterAutospacing="0"/>
        <w:textAlignment w:val="baseline"/>
        <w:rPr>
          <w:rFonts w:ascii="Segoe UI" w:hAnsi="Segoe UI" w:cs="Segoe UI"/>
          <w:sz w:val="18"/>
          <w:szCs w:val="18"/>
        </w:rPr>
      </w:pPr>
      <w:r>
        <w:rPr>
          <w:rStyle w:val="eop"/>
        </w:rPr>
        <w:t> </w:t>
      </w:r>
    </w:p>
    <w:p w14:paraId="637F778D" w14:textId="7533535D" w:rsidR="003733AD" w:rsidRDefault="00B11AEC" w:rsidP="00F7703E">
      <w:pPr>
        <w:pStyle w:val="paragraph"/>
        <w:spacing w:before="0" w:beforeAutospacing="0" w:after="0" w:afterAutospacing="0"/>
        <w:jc w:val="center"/>
        <w:textAlignment w:val="baseline"/>
        <w:rPr>
          <w:rStyle w:val="eop"/>
        </w:rPr>
      </w:pPr>
      <w:r>
        <w:rPr>
          <w:rStyle w:val="normaltextrun"/>
          <w:b/>
          <w:bCs/>
        </w:rPr>
        <w:t>How it Works</w:t>
      </w:r>
      <w:r>
        <w:rPr>
          <w:rStyle w:val="eop"/>
        </w:rPr>
        <w:t> </w:t>
      </w:r>
    </w:p>
    <w:p w14:paraId="386B4439" w14:textId="4DD1BA8E" w:rsidR="3E9CF8CC" w:rsidRDefault="003733AD" w:rsidP="3E9CF8CC">
      <w:pPr>
        <w:pStyle w:val="NormalWeb"/>
      </w:pPr>
      <w:r>
        <w:rPr>
          <w:rStyle w:val="eop"/>
        </w:rPr>
        <w:tab/>
      </w:r>
      <w:r w:rsidR="00E13878">
        <w:rPr>
          <w:rStyle w:val="eop"/>
        </w:rPr>
        <w:t xml:space="preserve">The </w:t>
      </w:r>
      <w:r w:rsidR="2EB6E15A">
        <w:t>Bobcat Classroom</w:t>
      </w:r>
      <w:r w:rsidR="00F7703E">
        <w:t xml:space="preserve"> </w:t>
      </w:r>
      <w:r w:rsidR="00816821">
        <w:t xml:space="preserve">was built into </w:t>
      </w:r>
      <w:r w:rsidR="39031A39">
        <w:t xml:space="preserve">the </w:t>
      </w:r>
      <w:r w:rsidR="6D7EA88F">
        <w:t>Montana State University</w:t>
      </w:r>
      <w:r w:rsidR="2F985CFC">
        <w:t xml:space="preserve"> (MSU)</w:t>
      </w:r>
      <w:r w:rsidR="00816821">
        <w:t xml:space="preserve"> teaching methods</w:t>
      </w:r>
      <w:r w:rsidR="7AE76942">
        <w:t xml:space="preserve"> for agricultural education</w:t>
      </w:r>
      <w:r w:rsidR="00816821">
        <w:t xml:space="preserve"> course </w:t>
      </w:r>
      <w:r w:rsidR="006E2767">
        <w:t xml:space="preserve">as an assignment and </w:t>
      </w:r>
      <w:r w:rsidR="76B69B5D">
        <w:t>an early</w:t>
      </w:r>
      <w:r w:rsidR="00F7703E">
        <w:t xml:space="preserve"> experiential teaching project. Preservice SBAE teachers </w:t>
      </w:r>
      <w:r w:rsidR="00F47453">
        <w:t xml:space="preserve">were asked to </w:t>
      </w:r>
      <w:r w:rsidR="00F7703E">
        <w:t xml:space="preserve">plan and deliver two consecutive 50-minute lessons aligned with Curriculum for Agricultural Science Education (CASE) </w:t>
      </w:r>
      <w:r w:rsidR="00F47453">
        <w:t>AgX curriculum</w:t>
      </w:r>
      <w:r w:rsidR="0092113E">
        <w:t>; students were allowed to collaborate and trade lessons</w:t>
      </w:r>
      <w:r w:rsidR="0032722A">
        <w:t xml:space="preserve">. </w:t>
      </w:r>
      <w:r w:rsidR="005D23D3">
        <w:t xml:space="preserve">Faculty members coordinated the volunteers through </w:t>
      </w:r>
      <w:r w:rsidR="00E76771">
        <w:t xml:space="preserve">promotion of the </w:t>
      </w:r>
      <w:r w:rsidR="7B2897C9">
        <w:t>Bobcat Classroom</w:t>
      </w:r>
      <w:r w:rsidR="0078508B">
        <w:t xml:space="preserve"> and requesting teacher and student volunteers through </w:t>
      </w:r>
      <w:proofErr w:type="spellStart"/>
      <w:r w:rsidR="3FB6C210">
        <w:t>MAgNet</w:t>
      </w:r>
      <w:proofErr w:type="spellEnd"/>
      <w:r w:rsidR="3FB6C210">
        <w:t xml:space="preserve"> (Montana </w:t>
      </w:r>
      <w:proofErr w:type="spellStart"/>
      <w:r w:rsidR="3FB6C210">
        <w:t>AgEd</w:t>
      </w:r>
      <w:proofErr w:type="spellEnd"/>
      <w:r w:rsidR="3FB6C210">
        <w:t xml:space="preserve"> Listserv)</w:t>
      </w:r>
      <w:r w:rsidR="00372319">
        <w:t>.</w:t>
      </w:r>
      <w:r w:rsidR="009455A3">
        <w:t xml:space="preserve"> </w:t>
      </w:r>
      <w:r w:rsidR="00194F98">
        <w:t xml:space="preserve">The lessons were then taught in conjunction with </w:t>
      </w:r>
      <w:r w:rsidR="009455A3">
        <w:t>the Montana FFA Ag Expo</w:t>
      </w:r>
      <w:r w:rsidR="00194F98">
        <w:t xml:space="preserve"> where </w:t>
      </w:r>
      <w:r w:rsidR="0077546A">
        <w:t>SBAE teachers signed up their students during times</w:t>
      </w:r>
      <w:r w:rsidR="002F5131">
        <w:t xml:space="preserve"> when they weren’t competing</w:t>
      </w:r>
      <w:r w:rsidR="0077546A">
        <w:t xml:space="preserve">. </w:t>
      </w:r>
      <w:r w:rsidR="003C11F3">
        <w:t xml:space="preserve">In addition to having FFA members in the classrooms as students, </w:t>
      </w:r>
      <w:r w:rsidR="0077546A">
        <w:t xml:space="preserve">SBAE teachers signed up individually to serve as teacher </w:t>
      </w:r>
      <w:r w:rsidR="0076136F">
        <w:t>mentors</w:t>
      </w:r>
      <w:r w:rsidR="00BE1ABC">
        <w:t xml:space="preserve">. The teacher mentor role required a </w:t>
      </w:r>
      <w:r w:rsidR="00121421">
        <w:t>2.5</w:t>
      </w:r>
      <w:r w:rsidR="00EF780A">
        <w:t>-</w:t>
      </w:r>
      <w:r w:rsidR="00BE1ABC">
        <w:t xml:space="preserve">hour commitment to observe both classes and </w:t>
      </w:r>
      <w:r w:rsidR="00EF780A">
        <w:t xml:space="preserve">then </w:t>
      </w:r>
      <w:r w:rsidR="00121421">
        <w:t>engage in a 30-minute debrief with the pre-service teacher</w:t>
      </w:r>
      <w:r w:rsidR="00EF780A">
        <w:t xml:space="preserve"> to discuss the experience</w:t>
      </w:r>
      <w:r w:rsidR="00F7703E">
        <w:t xml:space="preserve">. </w:t>
      </w:r>
    </w:p>
    <w:p w14:paraId="509C0C99" w14:textId="3B8961CA" w:rsidR="008777F1" w:rsidRPr="008B1C7A" w:rsidRDefault="00F7703E" w:rsidP="3E9CF8CC">
      <w:pPr>
        <w:pStyle w:val="NormalWeb"/>
        <w:ind w:firstLine="720"/>
      </w:pPr>
      <w:r>
        <w:t xml:space="preserve">Prior to teaching, preservice teachers engage in lesson planning, instructional preparation, and content alignment as part of their </w:t>
      </w:r>
      <w:bookmarkStart w:id="0" w:name="_Int_qISg5n3f"/>
      <w:r>
        <w:t>methods</w:t>
      </w:r>
      <w:bookmarkEnd w:id="0"/>
      <w:r>
        <w:t xml:space="preserve"> coursework. During the experience, preservice teachers assume responsibility for classroom instruction, student engagement, classroom management, and facilitation of hands-on learning activities in an authentic teaching environment. Following instruction, each preservice teacher participates in structured reflection and feedback sessions with an experienced SBAE teacher who serves as </w:t>
      </w:r>
      <w:r w:rsidR="00EF780A">
        <w:t>their teacher</w:t>
      </w:r>
      <w:r>
        <w:t xml:space="preserve"> mentor. Additional reflection </w:t>
      </w:r>
      <w:r w:rsidR="00367D51">
        <w:t xml:space="preserve">occurred in the teaching methods course </w:t>
      </w:r>
      <w:r>
        <w:t>through written reflections, group discussions, and guided debriefs designed to promote professional growth and self-assessment</w:t>
      </w:r>
      <w:r w:rsidR="755BFBB7">
        <w:t>.</w:t>
      </w:r>
    </w:p>
    <w:p w14:paraId="2CFE7D0E" w14:textId="77777777" w:rsidR="00B11AEC" w:rsidRDefault="00B11AEC" w:rsidP="00B11AEC">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Results/Implications</w:t>
      </w:r>
      <w:r>
        <w:rPr>
          <w:rStyle w:val="eop"/>
        </w:rPr>
        <w:t> </w:t>
      </w:r>
    </w:p>
    <w:p w14:paraId="05BDE743" w14:textId="0E1BD9E5" w:rsidR="00CD276F" w:rsidRDefault="00CD276F" w:rsidP="00CD276F">
      <w:pPr>
        <w:pStyle w:val="NormalWeb"/>
        <w:ind w:firstLine="720"/>
      </w:pPr>
      <w:r>
        <w:t xml:space="preserve">Preliminary findings from the </w:t>
      </w:r>
      <w:r w:rsidR="4C75023C">
        <w:t>Bobcat Classroom</w:t>
      </w:r>
      <w:r w:rsidR="006628BB">
        <w:t xml:space="preserve"> </w:t>
      </w:r>
      <w:r>
        <w:t xml:space="preserve">experience suggest meaningful growth in preservice SBAE </w:t>
      </w:r>
      <w:r w:rsidR="00025A45">
        <w:t>teachers</w:t>
      </w:r>
      <w:r>
        <w:t xml:space="preserve"> perceived readiness to teach (Brown et al., 2019; Sheehan &amp; Moore, 2019). Participants reported increased confidence in delivering agricultural content, managing classrooms, communicating with secondary students, and responding to unexpected instructional challenges. Many preservice teachers identified the opportunity to teach real students prior to student teaching as a pivotal mastery experience that reduced anxiety and clarified expectations for future teaching roles.</w:t>
      </w:r>
      <w:r w:rsidR="00FB49A0">
        <w:t xml:space="preserve"> </w:t>
      </w:r>
      <w:r w:rsidR="00A2506F">
        <w:t>Additionally, q</w:t>
      </w:r>
      <w:r>
        <w:t xml:space="preserve">ualitative reflections indicated that preservice teachers valued the immediacy of feedback, the opportunity to reflect on their instructional decisions, and the chance to observe their own growth in real time. Participants frequently described increased self-efficacy related to classroom presence, adaptability, and instructional confidence. These outcomes align with existing research emphasizing the importance of mastery experiences, reflection, and mentorship in developing teacher readiness (Edgar et al., 2011; Williams &amp; Sembiante, 2022). </w:t>
      </w:r>
    </w:p>
    <w:p w14:paraId="1FADC09A" w14:textId="6B902912" w:rsidR="008777F1" w:rsidRPr="00B9685D" w:rsidRDefault="002165BD" w:rsidP="00B9685D">
      <w:pPr>
        <w:pStyle w:val="NormalWeb"/>
        <w:ind w:firstLine="720"/>
        <w:rPr>
          <w:rStyle w:val="normaltextrun"/>
        </w:rPr>
      </w:pPr>
      <w:r>
        <w:t xml:space="preserve">Fifteen SBAE lessons, supported by CASE AgX curriculum, were developed by </w:t>
      </w:r>
      <w:r w:rsidR="0099187D">
        <w:t>Montana</w:t>
      </w:r>
      <w:r>
        <w:t xml:space="preserve"> preservice teachers, evaluated by </w:t>
      </w:r>
      <w:r w:rsidR="3390A07B">
        <w:t>MSU</w:t>
      </w:r>
      <w:r>
        <w:t xml:space="preserve"> faculty and graduate students, and uploaded to a shared drive. Eleven preservice SBAE teachers from </w:t>
      </w:r>
      <w:r w:rsidR="1433B0FD">
        <w:t>MSU</w:t>
      </w:r>
      <w:r>
        <w:t xml:space="preserve"> conducted 22, 50-minute lessons to over 200 </w:t>
      </w:r>
      <w:r w:rsidR="0CDFDD0C">
        <w:t>Montana</w:t>
      </w:r>
      <w:r>
        <w:t xml:space="preserve"> FFA members during </w:t>
      </w:r>
      <w:r w:rsidR="48407407">
        <w:t>Montana FFA Ag Expo</w:t>
      </w:r>
      <w:r>
        <w:t xml:space="preserve">. Teaching lessons were observed by ten teacher mentors who were either currently teaching Agricultural Education in </w:t>
      </w:r>
      <w:r w:rsidR="0099187D">
        <w:t>Montana</w:t>
      </w:r>
      <w:r>
        <w:t xml:space="preserve"> or previously taught agricultural education in </w:t>
      </w:r>
      <w:r w:rsidR="0099187D">
        <w:t>Montana</w:t>
      </w:r>
      <w:r>
        <w:t xml:space="preserve"> and are still working in the profession in another capacity. </w:t>
      </w:r>
      <w:r w:rsidR="0CD79B5C">
        <w:t>Bobcat Classroom</w:t>
      </w:r>
      <w:r w:rsidR="00CB30FA">
        <w:t xml:space="preserve"> </w:t>
      </w:r>
      <w:r w:rsidR="00BB6032">
        <w:t>demonstrate</w:t>
      </w:r>
      <w:r w:rsidR="00107F98">
        <w:t>d</w:t>
      </w:r>
      <w:r w:rsidR="00BB6032">
        <w:t xml:space="preserve"> the value of</w:t>
      </w:r>
      <w:r w:rsidR="00454918">
        <w:t xml:space="preserve"> </w:t>
      </w:r>
      <w:r w:rsidR="00BB6032">
        <w:t>early, authentic teaching experiences in strengthening preservice SBAE teacher readiness. By intentionally integrating experiential learning, reflection, and mentorship prior to student teaching, agricultural education programs may better prepare future teachers to meet the complex demands of SBAE and support long-term professional confidence</w:t>
      </w:r>
      <w:r w:rsidR="00B9685D">
        <w:t>, teacher longevity</w:t>
      </w:r>
      <w:r w:rsidR="00BB6032">
        <w:t xml:space="preserve"> and </w:t>
      </w:r>
      <w:r w:rsidR="00B9685D">
        <w:t xml:space="preserve">career </w:t>
      </w:r>
      <w:r w:rsidR="00BB6032">
        <w:t xml:space="preserve">success. </w:t>
      </w:r>
    </w:p>
    <w:p w14:paraId="1D256CFE" w14:textId="13D64F52" w:rsidR="00B11AEC" w:rsidRDefault="00B11AEC" w:rsidP="3E9CF8CC">
      <w:pPr>
        <w:pStyle w:val="paragraph"/>
        <w:spacing w:before="0" w:beforeAutospacing="0" w:after="0" w:afterAutospacing="0"/>
        <w:jc w:val="center"/>
        <w:textAlignment w:val="baseline"/>
        <w:rPr>
          <w:rFonts w:ascii="Segoe UI" w:hAnsi="Segoe UI" w:cs="Segoe UI"/>
          <w:sz w:val="18"/>
          <w:szCs w:val="18"/>
        </w:rPr>
      </w:pPr>
      <w:bookmarkStart w:id="1" w:name="_Int_Ojza9AkF"/>
      <w:r w:rsidRPr="3E9CF8CC">
        <w:rPr>
          <w:rStyle w:val="normaltextrun"/>
          <w:b/>
          <w:bCs/>
        </w:rPr>
        <w:t>Future Plans</w:t>
      </w:r>
      <w:bookmarkEnd w:id="1"/>
      <w:r w:rsidRPr="3E9CF8CC">
        <w:rPr>
          <w:rStyle w:val="eop"/>
        </w:rPr>
        <w:t> </w:t>
      </w:r>
    </w:p>
    <w:p w14:paraId="69D8473F" w14:textId="77777777" w:rsidR="008777F1" w:rsidRDefault="008777F1" w:rsidP="00B11AEC">
      <w:pPr>
        <w:pStyle w:val="paragraph"/>
        <w:spacing w:before="0" w:beforeAutospacing="0" w:after="0" w:afterAutospacing="0"/>
        <w:ind w:firstLine="720"/>
        <w:textAlignment w:val="baseline"/>
        <w:rPr>
          <w:rStyle w:val="normaltextrun"/>
        </w:rPr>
      </w:pPr>
    </w:p>
    <w:p w14:paraId="7198D526" w14:textId="5E2D2F7B" w:rsidR="00EB3871" w:rsidRPr="00EB3871" w:rsidRDefault="00EB3871" w:rsidP="69EDCCEE">
      <w:pPr>
        <w:pStyle w:val="paragraph"/>
        <w:spacing w:before="0" w:beforeAutospacing="0" w:after="0" w:afterAutospacing="0" w:line="259" w:lineRule="auto"/>
        <w:ind w:firstLine="720"/>
      </w:pPr>
      <w:bookmarkStart w:id="2" w:name="_Int_FkJA64Tl"/>
      <w:r>
        <w:t>Future plans</w:t>
      </w:r>
      <w:bookmarkEnd w:id="2"/>
      <w:r>
        <w:t xml:space="preserve"> include continued implementation</w:t>
      </w:r>
      <w:r w:rsidR="008C12A2">
        <w:t>, expansion</w:t>
      </w:r>
      <w:r>
        <w:t xml:space="preserve"> and refinement of the </w:t>
      </w:r>
      <w:r w:rsidR="695F8FB8">
        <w:t>Bobcat Classroom</w:t>
      </w:r>
      <w:r w:rsidR="00B9685D">
        <w:t xml:space="preserve"> </w:t>
      </w:r>
      <w:r>
        <w:t>experience within</w:t>
      </w:r>
      <w:r w:rsidR="00B9685D">
        <w:t xml:space="preserve"> </w:t>
      </w:r>
      <w:r w:rsidR="1EBEA575">
        <w:t>MSU</w:t>
      </w:r>
      <w:r w:rsidR="00B9685D">
        <w:t xml:space="preserve"> </w:t>
      </w:r>
      <w:r>
        <w:t xml:space="preserve">teacher preparation program. Planned improvements include increasing the number of </w:t>
      </w:r>
      <w:r w:rsidR="002165BD">
        <w:t>secondary schools participating</w:t>
      </w:r>
      <w:r w:rsidR="0096352A">
        <w:t xml:space="preserve"> and</w:t>
      </w:r>
      <w:r>
        <w:t xml:space="preserve"> strengthening the r</w:t>
      </w:r>
      <w:r w:rsidR="00FF3868">
        <w:t>ole</w:t>
      </w:r>
      <w:r>
        <w:t xml:space="preserve"> of </w:t>
      </w:r>
      <w:bookmarkStart w:id="3" w:name="_Int_V3d9uRkw"/>
      <w:r>
        <w:t>mentor</w:t>
      </w:r>
      <w:bookmarkEnd w:id="3"/>
      <w:r>
        <w:t xml:space="preserve"> teachers to provide more </w:t>
      </w:r>
      <w:r w:rsidR="00D952D2">
        <w:t xml:space="preserve">opportunities for </w:t>
      </w:r>
      <w:r>
        <w:t>intentional feedback and coaching. Additional emphasis will be placed on structured reflection activities to further support preservice teachers’ ability to connect experience with pedagogical growth</w:t>
      </w:r>
      <w:r w:rsidR="00D952D2">
        <w:t xml:space="preserve">. </w:t>
      </w:r>
      <w:r>
        <w:t xml:space="preserve">Additional research efforts will focus on longitudinal outcomes, including how participation in </w:t>
      </w:r>
      <w:r w:rsidR="65DB55F2">
        <w:t>Bobcat Classroom</w:t>
      </w:r>
      <w:r w:rsidR="00D952D2">
        <w:t xml:space="preserve"> </w:t>
      </w:r>
      <w:r>
        <w:t>influences performance during student teaching and early career teaching. Findings from these expanded implementations will be used to inform best practices for embedding early experiential learning opportunities within SBAE teacher preparation curricula.</w:t>
      </w:r>
    </w:p>
    <w:p w14:paraId="66FC40D0" w14:textId="77777777" w:rsidR="007C135B" w:rsidRDefault="007C135B" w:rsidP="00B11AEC">
      <w:pPr>
        <w:pStyle w:val="paragraph"/>
        <w:spacing w:before="0" w:beforeAutospacing="0" w:after="0" w:afterAutospacing="0"/>
        <w:ind w:firstLine="720"/>
        <w:textAlignment w:val="baseline"/>
        <w:rPr>
          <w:rFonts w:ascii="Segoe UI" w:hAnsi="Segoe UI" w:cs="Segoe UI"/>
          <w:sz w:val="18"/>
          <w:szCs w:val="18"/>
        </w:rPr>
      </w:pPr>
    </w:p>
    <w:p w14:paraId="74F487FF" w14:textId="534107F5" w:rsidR="004357B8" w:rsidRDefault="004357B8" w:rsidP="00657E8A">
      <w:pPr>
        <w:jc w:val="center"/>
        <w:rPr>
          <w:rFonts w:ascii="Times New Roman" w:eastAsia="Times New Roman" w:hAnsi="Times New Roman" w:cs="Times New Roman"/>
          <w:b/>
        </w:rPr>
      </w:pPr>
      <w:r>
        <w:rPr>
          <w:rFonts w:ascii="Times New Roman" w:eastAsia="Times New Roman" w:hAnsi="Times New Roman" w:cs="Times New Roman"/>
          <w:b/>
        </w:rPr>
        <w:t>Cost / Resources</w:t>
      </w:r>
    </w:p>
    <w:p w14:paraId="5C631CE4" w14:textId="77777777" w:rsidR="004357B8" w:rsidRDefault="004357B8" w:rsidP="004357B8">
      <w:pPr>
        <w:jc w:val="center"/>
        <w:rPr>
          <w:rFonts w:ascii="Times New Roman" w:eastAsia="Times New Roman" w:hAnsi="Times New Roman" w:cs="Times New Roman"/>
          <w:b/>
        </w:rPr>
      </w:pPr>
    </w:p>
    <w:p w14:paraId="50521647" w14:textId="2A453844" w:rsidR="005A64F9" w:rsidRDefault="00562168" w:rsidP="0099187D">
      <w:pPr>
        <w:ind w:firstLine="720"/>
        <w:rPr>
          <w:rStyle w:val="normaltextrun"/>
          <w:rFonts w:ascii="Times New Roman" w:eastAsia="Times New Roman" w:hAnsi="Times New Roman" w:cs="Times New Roman"/>
          <w:b/>
          <w:bCs/>
        </w:rPr>
      </w:pPr>
      <w:r w:rsidRPr="69EDCCEE">
        <w:rPr>
          <w:rFonts w:ascii="Times New Roman" w:eastAsia="Times New Roman" w:hAnsi="Times New Roman" w:cs="Times New Roman"/>
        </w:rPr>
        <w:t>C</w:t>
      </w:r>
      <w:r w:rsidR="00AC246F" w:rsidRPr="69EDCCEE">
        <w:rPr>
          <w:rFonts w:ascii="Times New Roman" w:eastAsia="Times New Roman" w:hAnsi="Times New Roman" w:cs="Times New Roman"/>
        </w:rPr>
        <w:t xml:space="preserve">lassroom supplies were purchased with course fees, approximately $200. </w:t>
      </w:r>
      <w:r w:rsidR="00C604C5" w:rsidRPr="69EDCCEE">
        <w:rPr>
          <w:rFonts w:ascii="Times New Roman" w:eastAsia="Times New Roman" w:hAnsi="Times New Roman" w:cs="Times New Roman"/>
        </w:rPr>
        <w:t xml:space="preserve">Human resources </w:t>
      </w:r>
      <w:r w:rsidR="00AD4517" w:rsidRPr="69EDCCEE">
        <w:rPr>
          <w:rFonts w:ascii="Times New Roman" w:eastAsia="Times New Roman" w:hAnsi="Times New Roman" w:cs="Times New Roman"/>
        </w:rPr>
        <w:t>included</w:t>
      </w:r>
      <w:r w:rsidR="00C604C5" w:rsidRPr="69EDCCEE">
        <w:rPr>
          <w:rFonts w:ascii="Times New Roman" w:eastAsia="Times New Roman" w:hAnsi="Times New Roman" w:cs="Times New Roman"/>
        </w:rPr>
        <w:t xml:space="preserve"> </w:t>
      </w:r>
      <w:r w:rsidR="2AF2994D" w:rsidRPr="69EDCCEE">
        <w:rPr>
          <w:rFonts w:ascii="Times New Roman" w:eastAsia="Times New Roman" w:hAnsi="Times New Roman" w:cs="Times New Roman"/>
        </w:rPr>
        <w:t>Montana</w:t>
      </w:r>
      <w:r w:rsidR="00C604C5" w:rsidRPr="69EDCCEE">
        <w:rPr>
          <w:rFonts w:ascii="Times New Roman" w:eastAsia="Times New Roman" w:hAnsi="Times New Roman" w:cs="Times New Roman"/>
        </w:rPr>
        <w:t xml:space="preserve"> SBAE teachers serving as mentor teachers</w:t>
      </w:r>
      <w:r w:rsidR="009B6CDD" w:rsidRPr="69EDCCEE">
        <w:rPr>
          <w:rFonts w:ascii="Times New Roman" w:eastAsia="Times New Roman" w:hAnsi="Times New Roman" w:cs="Times New Roman"/>
        </w:rPr>
        <w:t>,</w:t>
      </w:r>
      <w:r w:rsidR="00C604C5" w:rsidRPr="69EDCCEE">
        <w:rPr>
          <w:rFonts w:ascii="Times New Roman" w:eastAsia="Times New Roman" w:hAnsi="Times New Roman" w:cs="Times New Roman"/>
        </w:rPr>
        <w:t xml:space="preserve"> </w:t>
      </w:r>
      <w:r w:rsidR="00AD4517" w:rsidRPr="69EDCCEE">
        <w:rPr>
          <w:rFonts w:ascii="Times New Roman" w:eastAsia="Times New Roman" w:hAnsi="Times New Roman" w:cs="Times New Roman"/>
        </w:rPr>
        <w:t xml:space="preserve">FFA members </w:t>
      </w:r>
      <w:r w:rsidR="009B6CDD" w:rsidRPr="69EDCCEE">
        <w:rPr>
          <w:rFonts w:ascii="Times New Roman" w:eastAsia="Times New Roman" w:hAnsi="Times New Roman" w:cs="Times New Roman"/>
        </w:rPr>
        <w:t xml:space="preserve">serving as </w:t>
      </w:r>
      <w:r w:rsidR="00026763" w:rsidRPr="69EDCCEE">
        <w:rPr>
          <w:rFonts w:ascii="Times New Roman" w:eastAsia="Times New Roman" w:hAnsi="Times New Roman" w:cs="Times New Roman"/>
        </w:rPr>
        <w:t xml:space="preserve">students in the classroom and </w:t>
      </w:r>
      <w:r w:rsidR="009B6CDD" w:rsidRPr="69EDCCEE">
        <w:rPr>
          <w:rFonts w:ascii="Times New Roman" w:eastAsia="Times New Roman" w:hAnsi="Times New Roman" w:cs="Times New Roman"/>
        </w:rPr>
        <w:t xml:space="preserve">university faculty and staff coordinating the logistics. </w:t>
      </w:r>
      <w:r w:rsidR="005A64F9">
        <w:rPr>
          <w:rStyle w:val="normaltextrun"/>
          <w:b/>
          <w:bCs/>
        </w:rPr>
        <w:br w:type="page"/>
      </w:r>
    </w:p>
    <w:p w14:paraId="1EF1C02C" w14:textId="1561499F" w:rsidR="00B11AEC" w:rsidRDefault="00B11AEC" w:rsidP="004112E1">
      <w:pPr>
        <w:pStyle w:val="paragraph"/>
        <w:spacing w:before="0" w:beforeAutospacing="0" w:after="0" w:afterAutospacing="0" w:line="480" w:lineRule="auto"/>
        <w:ind w:left="720" w:hanging="720"/>
        <w:jc w:val="center"/>
        <w:textAlignment w:val="baseline"/>
        <w:rPr>
          <w:rFonts w:ascii="Segoe UI" w:hAnsi="Segoe UI" w:cs="Segoe UI"/>
          <w:sz w:val="18"/>
          <w:szCs w:val="18"/>
        </w:rPr>
      </w:pPr>
      <w:r>
        <w:rPr>
          <w:rStyle w:val="normaltextrun"/>
          <w:b/>
          <w:bCs/>
        </w:rPr>
        <w:lastRenderedPageBreak/>
        <w:t>Re</w:t>
      </w:r>
      <w:r w:rsidR="005A64F9">
        <w:rPr>
          <w:rStyle w:val="normaltextrun"/>
          <w:b/>
          <w:bCs/>
        </w:rPr>
        <w:t>ferences</w:t>
      </w:r>
      <w:r>
        <w:rPr>
          <w:rStyle w:val="eop"/>
        </w:rPr>
        <w:t> </w:t>
      </w:r>
    </w:p>
    <w:p w14:paraId="006B7041"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Bandura, A. (1986). </w:t>
      </w:r>
      <w:r w:rsidRPr="006C29F7">
        <w:rPr>
          <w:i/>
          <w:iCs/>
        </w:rPr>
        <w:t>Social foundations of thought and action: A social cognitive theory</w:t>
      </w:r>
      <w:r w:rsidRPr="006C29F7">
        <w:t>. Prentice Hall.</w:t>
      </w:r>
    </w:p>
    <w:p w14:paraId="34BE22F7"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Brown, A. L., Lee, J., &amp; Collins, D. (2015). Does student teaching matter? Investigating pre-service teachers’ sense of efficacy and preparedness. </w:t>
      </w:r>
      <w:r w:rsidRPr="006C29F7">
        <w:rPr>
          <w:i/>
          <w:iCs/>
        </w:rPr>
        <w:t>Teaching Education, 26</w:t>
      </w:r>
      <w:r w:rsidRPr="006C29F7">
        <w:t>(1), 77–93.</w:t>
      </w:r>
    </w:p>
    <w:p w14:paraId="7D501DCB"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Brown, A. L., Myers, J., &amp; Collins, D. (2019). </w:t>
      </w:r>
      <w:proofErr w:type="gramStart"/>
      <w:r w:rsidRPr="006C29F7">
        <w:t>How</w:t>
      </w:r>
      <w:proofErr w:type="gramEnd"/>
      <w:r w:rsidRPr="006C29F7">
        <w:t xml:space="preserve"> pre-service teachers’ sense of teaching efficacy and preparedness to teach impact performance during student teaching. </w:t>
      </w:r>
      <w:r w:rsidRPr="006C29F7">
        <w:rPr>
          <w:i/>
          <w:iCs/>
        </w:rPr>
        <w:t>Educational Studies, 47</w:t>
      </w:r>
      <w:r w:rsidRPr="006C29F7">
        <w:t>(1), 38–58. https://doi.org/10.1080/03055698.2019.1651696</w:t>
      </w:r>
    </w:p>
    <w:p w14:paraId="0593E5B4"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Edgar, D. W., Roberts, T. G., &amp; Murphy, T. H. (2011). Exploring relationships between teaching efficacy and student teacher–cooperating teacher relationships. </w:t>
      </w:r>
      <w:r w:rsidRPr="006C29F7">
        <w:rPr>
          <w:i/>
          <w:iCs/>
        </w:rPr>
        <w:t>Journal of Agricultural Education, 52</w:t>
      </w:r>
      <w:r w:rsidRPr="006C29F7">
        <w:t>(1), 9–18.</w:t>
      </w:r>
    </w:p>
    <w:p w14:paraId="15DFEA4F"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Kolb, D. A. (1984). </w:t>
      </w:r>
      <w:r w:rsidRPr="006C29F7">
        <w:rPr>
          <w:i/>
          <w:iCs/>
        </w:rPr>
        <w:t>Experiential learning: Experience as the source of learning and development</w:t>
      </w:r>
      <w:r w:rsidRPr="006C29F7">
        <w:t>. Prentice Hall.</w:t>
      </w:r>
    </w:p>
    <w:p w14:paraId="4A2C89DA"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Rankin III, K. R. L., Eck, C. J., Marsh, K. N., Coleman, B. M., &amp; Smith, N. A. (2025). The needs of Oklahoma school-based agricultural education teachers related to teaching agriculture, food and natural resources topics. </w:t>
      </w:r>
      <w:r w:rsidRPr="006C29F7">
        <w:rPr>
          <w:i/>
          <w:iCs/>
        </w:rPr>
        <w:t>Advancements in Agricultural Development, 6</w:t>
      </w:r>
      <w:r w:rsidRPr="006C29F7">
        <w:t>(1), 82–96. https://doi.org/10.37433/aad.v6i1.523</w:t>
      </w:r>
    </w:p>
    <w:p w14:paraId="29B15008"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Rubenstein, E. D., Thoron, A. C., &amp; Estepp, C. M. (2014). Perceived self-efficacy of preservice agriculture teachers toward specific SAE competencies. </w:t>
      </w:r>
      <w:r w:rsidRPr="006C29F7">
        <w:rPr>
          <w:i/>
          <w:iCs/>
        </w:rPr>
        <w:t>Journal of Agricultural Education, 55</w:t>
      </w:r>
      <w:r w:rsidRPr="006C29F7">
        <w:t>(4), 72–84. https://doi.org/10.5032/jae.2014.04072</w:t>
      </w:r>
    </w:p>
    <w:p w14:paraId="12580299"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Sheehan, C. Z., &amp; Moore, L. L. (2019). Teacher self-efficacy in SBAE methods coursework: A mixed methods study. </w:t>
      </w:r>
      <w:r w:rsidRPr="006C29F7">
        <w:rPr>
          <w:i/>
          <w:iCs/>
        </w:rPr>
        <w:t>Journal of Agricultural Education, 60</w:t>
      </w:r>
      <w:r w:rsidRPr="006C29F7">
        <w:t>(3), 219–231.</w:t>
      </w:r>
    </w:p>
    <w:p w14:paraId="55686A31"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lastRenderedPageBreak/>
        <w:t xml:space="preserve">Stewart, J., Lambert, M. D., &amp; Claflin, K. (2025). Exploring the connections between pedagogical content knowledge and experiential learning. </w:t>
      </w:r>
      <w:r w:rsidRPr="006C29F7">
        <w:rPr>
          <w:i/>
          <w:iCs/>
        </w:rPr>
        <w:t>Journal of Agricultural Education, 66</w:t>
      </w:r>
      <w:r w:rsidRPr="006C29F7">
        <w:t>(4), Article 8. https://doi.org/10.5032/jae.v66i4.2921</w:t>
      </w:r>
    </w:p>
    <w:p w14:paraId="21BEC600"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Toombs, J. M., Eck, C. J., &amp; Robinson, J. S. (2022). The impact of a project-based learning experience on the SAE self-efficacy of preservice teachers. </w:t>
      </w:r>
      <w:r w:rsidRPr="006C29F7">
        <w:rPr>
          <w:i/>
          <w:iCs/>
        </w:rPr>
        <w:t>Journal of Agricultural Education, 63</w:t>
      </w:r>
      <w:r w:rsidRPr="006C29F7">
        <w:t>(1), 29–46. https://doi.org/10.5032/jae.2022.01029</w:t>
      </w:r>
    </w:p>
    <w:p w14:paraId="2EBEAC91"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Wells, T., Hainline, M. S., &amp; Smalley, S. W. (2019). Identifying challenges pre-service teachers encountered when teaching Curriculum for Agricultural Science Education (CASE) coursework during student teaching. </w:t>
      </w:r>
      <w:r w:rsidRPr="006C29F7">
        <w:rPr>
          <w:i/>
          <w:iCs/>
        </w:rPr>
        <w:t>Journal of Agricultural Education, 60</w:t>
      </w:r>
      <w:r w:rsidRPr="006C29F7">
        <w:t>(3), 128–140.</w:t>
      </w:r>
    </w:p>
    <w:p w14:paraId="63EF03DA" w14:textId="77777777" w:rsidR="006C29F7" w:rsidRPr="006C29F7" w:rsidRDefault="006C29F7" w:rsidP="006C29F7">
      <w:pPr>
        <w:pStyle w:val="paragraph"/>
        <w:spacing w:before="0" w:beforeAutospacing="0" w:after="0" w:afterAutospacing="0" w:line="480" w:lineRule="auto"/>
        <w:ind w:left="720" w:hanging="720"/>
        <w:textAlignment w:val="baseline"/>
      </w:pPr>
      <w:r w:rsidRPr="006C29F7">
        <w:t xml:space="preserve">Williams, L., &amp; </w:t>
      </w:r>
      <w:proofErr w:type="spellStart"/>
      <w:r w:rsidRPr="006C29F7">
        <w:t>Sembiante</w:t>
      </w:r>
      <w:proofErr w:type="spellEnd"/>
      <w:r w:rsidRPr="006C29F7">
        <w:t xml:space="preserve">, S. F. (2022). Experiential learning in teacher preparation programs: A review of outcomes and programmatic elements for preservice teachers. </w:t>
      </w:r>
      <w:r w:rsidRPr="006C29F7">
        <w:rPr>
          <w:i/>
          <w:iCs/>
        </w:rPr>
        <w:t>Teaching and Teacher Education, 112</w:t>
      </w:r>
      <w:r w:rsidRPr="006C29F7">
        <w:t>, 103630. https://doi.org/10.1016/j.tate.2022.103630</w:t>
      </w:r>
    </w:p>
    <w:p w14:paraId="55D557C5" w14:textId="77777777" w:rsidR="00D1384F" w:rsidRDefault="00D1384F" w:rsidP="004112E1">
      <w:pPr>
        <w:pStyle w:val="paragraph"/>
        <w:spacing w:before="0" w:beforeAutospacing="0" w:after="0" w:afterAutospacing="0" w:line="480" w:lineRule="auto"/>
        <w:ind w:left="720" w:hanging="720"/>
        <w:textAlignment w:val="baseline"/>
      </w:pPr>
    </w:p>
    <w:sectPr w:rsidR="00D1384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BA25D" w14:textId="77777777" w:rsidR="005E6563" w:rsidRDefault="005E6563" w:rsidP="00B11AEC">
      <w:r>
        <w:separator/>
      </w:r>
    </w:p>
  </w:endnote>
  <w:endnote w:type="continuationSeparator" w:id="0">
    <w:p w14:paraId="44F2C164" w14:textId="77777777" w:rsidR="005E6563" w:rsidRDefault="005E6563" w:rsidP="00B11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5DBF7" w14:textId="77777777" w:rsidR="005E6563" w:rsidRDefault="005E6563" w:rsidP="00B11AEC">
      <w:r>
        <w:separator/>
      </w:r>
    </w:p>
  </w:footnote>
  <w:footnote w:type="continuationSeparator" w:id="0">
    <w:p w14:paraId="412609AB" w14:textId="77777777" w:rsidR="005E6563" w:rsidRDefault="005E6563" w:rsidP="00B11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BAC6A" w14:textId="33A548E9" w:rsidR="00B11AEC" w:rsidRPr="00B11AEC" w:rsidRDefault="00B11AEC" w:rsidP="00B11AEC">
    <w:pPr>
      <w:pStyle w:val="Header"/>
      <w:jc w:val="right"/>
      <w:rPr>
        <w:rFonts w:ascii="Times New Roman" w:hAnsi="Times New Roman" w:cs="Times New Roman"/>
        <w:b/>
        <w:bCs/>
        <w:color w:val="7F7F7F" w:themeColor="text1" w:themeTint="80"/>
        <w14:textOutline w14:w="0" w14:cap="flat" w14:cmpd="sng" w14:algn="ctr">
          <w14:noFill/>
          <w14:prstDash w14:val="solid"/>
          <w14:round/>
        </w14:textOutline>
      </w:rPr>
    </w:pPr>
    <w:r w:rsidRPr="00B11AEC">
      <w:rPr>
        <w:rFonts w:ascii="Times New Roman" w:hAnsi="Times New Roman" w:cs="Times New Roman"/>
        <w:b/>
        <w:bCs/>
        <w:color w:val="7F7F7F" w:themeColor="text1" w:themeTint="80"/>
        <w14:textOutline w14:w="0" w14:cap="flat" w14:cmpd="sng" w14:algn="ctr">
          <w14:noFill/>
          <w14:prstDash w14:val="solid"/>
          <w14:round/>
        </w14:textOutline>
      </w:rPr>
      <w:t>INNOVATIVE IDEA</w:t>
    </w:r>
  </w:p>
  <w:p w14:paraId="5071E482" w14:textId="77777777" w:rsidR="00B11AEC" w:rsidRDefault="00B11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289"/>
    <w:multiLevelType w:val="multilevel"/>
    <w:tmpl w:val="EB16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A50D00"/>
    <w:multiLevelType w:val="multilevel"/>
    <w:tmpl w:val="DC4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3563161">
    <w:abstractNumId w:val="0"/>
  </w:num>
  <w:num w:numId="2" w16cid:durableId="1332566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EC"/>
    <w:rsid w:val="00020FDD"/>
    <w:rsid w:val="000239F0"/>
    <w:rsid w:val="00025A45"/>
    <w:rsid w:val="00026763"/>
    <w:rsid w:val="0002727E"/>
    <w:rsid w:val="00032FC5"/>
    <w:rsid w:val="00046B92"/>
    <w:rsid w:val="000537C0"/>
    <w:rsid w:val="000539F4"/>
    <w:rsid w:val="000547A5"/>
    <w:rsid w:val="00055E60"/>
    <w:rsid w:val="0005696F"/>
    <w:rsid w:val="000822A7"/>
    <w:rsid w:val="0009065B"/>
    <w:rsid w:val="000B6A46"/>
    <w:rsid w:val="000C11B9"/>
    <w:rsid w:val="000D5D1A"/>
    <w:rsid w:val="000D6A6D"/>
    <w:rsid w:val="000D7CC4"/>
    <w:rsid w:val="000F6A42"/>
    <w:rsid w:val="00107F98"/>
    <w:rsid w:val="00121421"/>
    <w:rsid w:val="00122335"/>
    <w:rsid w:val="00182F9C"/>
    <w:rsid w:val="00186CFA"/>
    <w:rsid w:val="001920EA"/>
    <w:rsid w:val="00194F98"/>
    <w:rsid w:val="001C7F21"/>
    <w:rsid w:val="001D5FC8"/>
    <w:rsid w:val="001E0141"/>
    <w:rsid w:val="001F1289"/>
    <w:rsid w:val="002165BD"/>
    <w:rsid w:val="002437A5"/>
    <w:rsid w:val="002517B4"/>
    <w:rsid w:val="00255A90"/>
    <w:rsid w:val="002644AB"/>
    <w:rsid w:val="00271695"/>
    <w:rsid w:val="002938F4"/>
    <w:rsid w:val="0029586F"/>
    <w:rsid w:val="00295FDE"/>
    <w:rsid w:val="002C7E88"/>
    <w:rsid w:val="002D3718"/>
    <w:rsid w:val="002E36A1"/>
    <w:rsid w:val="002E7118"/>
    <w:rsid w:val="002E7D65"/>
    <w:rsid w:val="002F5131"/>
    <w:rsid w:val="00320CA3"/>
    <w:rsid w:val="00325B6E"/>
    <w:rsid w:val="0032722A"/>
    <w:rsid w:val="00363F4E"/>
    <w:rsid w:val="00367D51"/>
    <w:rsid w:val="00372319"/>
    <w:rsid w:val="003733AD"/>
    <w:rsid w:val="00394439"/>
    <w:rsid w:val="0039698B"/>
    <w:rsid w:val="003A64D7"/>
    <w:rsid w:val="003A69DF"/>
    <w:rsid w:val="003C11F3"/>
    <w:rsid w:val="003C2A44"/>
    <w:rsid w:val="003C7ED2"/>
    <w:rsid w:val="003D68C7"/>
    <w:rsid w:val="003F244F"/>
    <w:rsid w:val="003F4E4A"/>
    <w:rsid w:val="00400951"/>
    <w:rsid w:val="00405B53"/>
    <w:rsid w:val="004063A5"/>
    <w:rsid w:val="004112E1"/>
    <w:rsid w:val="004153C7"/>
    <w:rsid w:val="004266F6"/>
    <w:rsid w:val="004357B8"/>
    <w:rsid w:val="00441A66"/>
    <w:rsid w:val="00442839"/>
    <w:rsid w:val="00454918"/>
    <w:rsid w:val="00467FE1"/>
    <w:rsid w:val="004B5A85"/>
    <w:rsid w:val="004C12FA"/>
    <w:rsid w:val="004D39E2"/>
    <w:rsid w:val="004D3E58"/>
    <w:rsid w:val="004D7642"/>
    <w:rsid w:val="004E1E7C"/>
    <w:rsid w:val="0050112F"/>
    <w:rsid w:val="00510B51"/>
    <w:rsid w:val="005273B1"/>
    <w:rsid w:val="00530688"/>
    <w:rsid w:val="00543E0E"/>
    <w:rsid w:val="005452E4"/>
    <w:rsid w:val="00562168"/>
    <w:rsid w:val="0058762F"/>
    <w:rsid w:val="005A0415"/>
    <w:rsid w:val="005A0A77"/>
    <w:rsid w:val="005A4C03"/>
    <w:rsid w:val="005A64F9"/>
    <w:rsid w:val="005C643B"/>
    <w:rsid w:val="005D23D3"/>
    <w:rsid w:val="005E0F4B"/>
    <w:rsid w:val="005E6563"/>
    <w:rsid w:val="00621A44"/>
    <w:rsid w:val="00623898"/>
    <w:rsid w:val="006272AC"/>
    <w:rsid w:val="00634293"/>
    <w:rsid w:val="00634567"/>
    <w:rsid w:val="00636A7C"/>
    <w:rsid w:val="00657E8A"/>
    <w:rsid w:val="006619E3"/>
    <w:rsid w:val="006628BB"/>
    <w:rsid w:val="0067788F"/>
    <w:rsid w:val="00693BED"/>
    <w:rsid w:val="00697D28"/>
    <w:rsid w:val="006A0139"/>
    <w:rsid w:val="006A6590"/>
    <w:rsid w:val="006C29F7"/>
    <w:rsid w:val="006E270E"/>
    <w:rsid w:val="006E2767"/>
    <w:rsid w:val="006E3298"/>
    <w:rsid w:val="006E790C"/>
    <w:rsid w:val="00706739"/>
    <w:rsid w:val="00737D68"/>
    <w:rsid w:val="0076136F"/>
    <w:rsid w:val="0076273D"/>
    <w:rsid w:val="0077546A"/>
    <w:rsid w:val="007836B6"/>
    <w:rsid w:val="0078508B"/>
    <w:rsid w:val="007B510A"/>
    <w:rsid w:val="007C135B"/>
    <w:rsid w:val="007C7DBF"/>
    <w:rsid w:val="007E1F33"/>
    <w:rsid w:val="007E59D1"/>
    <w:rsid w:val="007F5BDE"/>
    <w:rsid w:val="0080304A"/>
    <w:rsid w:val="0081369E"/>
    <w:rsid w:val="00816821"/>
    <w:rsid w:val="00825548"/>
    <w:rsid w:val="00834DAB"/>
    <w:rsid w:val="00837D46"/>
    <w:rsid w:val="008715CE"/>
    <w:rsid w:val="0087590D"/>
    <w:rsid w:val="008777F1"/>
    <w:rsid w:val="00890015"/>
    <w:rsid w:val="00891D67"/>
    <w:rsid w:val="0089418D"/>
    <w:rsid w:val="00895148"/>
    <w:rsid w:val="008B1C7A"/>
    <w:rsid w:val="008C12A2"/>
    <w:rsid w:val="008C6DBB"/>
    <w:rsid w:val="008D3EF3"/>
    <w:rsid w:val="00917B64"/>
    <w:rsid w:val="0092113E"/>
    <w:rsid w:val="009215F9"/>
    <w:rsid w:val="00943943"/>
    <w:rsid w:val="009455A3"/>
    <w:rsid w:val="00953A1D"/>
    <w:rsid w:val="0096352A"/>
    <w:rsid w:val="00981D8F"/>
    <w:rsid w:val="0099187D"/>
    <w:rsid w:val="00992CEB"/>
    <w:rsid w:val="00997DA8"/>
    <w:rsid w:val="009B6746"/>
    <w:rsid w:val="009B6CDD"/>
    <w:rsid w:val="009F01CC"/>
    <w:rsid w:val="00A00EDE"/>
    <w:rsid w:val="00A12C8F"/>
    <w:rsid w:val="00A14804"/>
    <w:rsid w:val="00A24ECD"/>
    <w:rsid w:val="00A2506F"/>
    <w:rsid w:val="00A27B8C"/>
    <w:rsid w:val="00A31CEE"/>
    <w:rsid w:val="00A578CB"/>
    <w:rsid w:val="00A64A88"/>
    <w:rsid w:val="00A668FF"/>
    <w:rsid w:val="00A957C4"/>
    <w:rsid w:val="00AA0CA8"/>
    <w:rsid w:val="00AA1326"/>
    <w:rsid w:val="00AB196F"/>
    <w:rsid w:val="00AC246F"/>
    <w:rsid w:val="00AD4517"/>
    <w:rsid w:val="00AE136F"/>
    <w:rsid w:val="00AF50DE"/>
    <w:rsid w:val="00AF75B8"/>
    <w:rsid w:val="00B11AEC"/>
    <w:rsid w:val="00B12EE6"/>
    <w:rsid w:val="00B2278D"/>
    <w:rsid w:val="00B35184"/>
    <w:rsid w:val="00B442EF"/>
    <w:rsid w:val="00B517CC"/>
    <w:rsid w:val="00B533D1"/>
    <w:rsid w:val="00B77F01"/>
    <w:rsid w:val="00B902AB"/>
    <w:rsid w:val="00B9685D"/>
    <w:rsid w:val="00BA6C8C"/>
    <w:rsid w:val="00BB1550"/>
    <w:rsid w:val="00BB6032"/>
    <w:rsid w:val="00BD3D7A"/>
    <w:rsid w:val="00BE1ABC"/>
    <w:rsid w:val="00BE2158"/>
    <w:rsid w:val="00BE5737"/>
    <w:rsid w:val="00BF3582"/>
    <w:rsid w:val="00BF3E3A"/>
    <w:rsid w:val="00C005E1"/>
    <w:rsid w:val="00C3313F"/>
    <w:rsid w:val="00C349A4"/>
    <w:rsid w:val="00C453AF"/>
    <w:rsid w:val="00C51AA8"/>
    <w:rsid w:val="00C604C5"/>
    <w:rsid w:val="00C71D9B"/>
    <w:rsid w:val="00C75E53"/>
    <w:rsid w:val="00C9242B"/>
    <w:rsid w:val="00C946BF"/>
    <w:rsid w:val="00C948DC"/>
    <w:rsid w:val="00CB30FA"/>
    <w:rsid w:val="00CB40E0"/>
    <w:rsid w:val="00CC3253"/>
    <w:rsid w:val="00CD276F"/>
    <w:rsid w:val="00CD7EFC"/>
    <w:rsid w:val="00CE56CB"/>
    <w:rsid w:val="00D031A4"/>
    <w:rsid w:val="00D106EB"/>
    <w:rsid w:val="00D1384F"/>
    <w:rsid w:val="00D15227"/>
    <w:rsid w:val="00D307F3"/>
    <w:rsid w:val="00D32296"/>
    <w:rsid w:val="00D35A85"/>
    <w:rsid w:val="00D538A2"/>
    <w:rsid w:val="00D55E7D"/>
    <w:rsid w:val="00D612A4"/>
    <w:rsid w:val="00D62E56"/>
    <w:rsid w:val="00D75DDD"/>
    <w:rsid w:val="00D939D7"/>
    <w:rsid w:val="00D952D2"/>
    <w:rsid w:val="00D96836"/>
    <w:rsid w:val="00DE3E3B"/>
    <w:rsid w:val="00DF0975"/>
    <w:rsid w:val="00DF3611"/>
    <w:rsid w:val="00E13878"/>
    <w:rsid w:val="00E249A9"/>
    <w:rsid w:val="00E26A28"/>
    <w:rsid w:val="00E26D05"/>
    <w:rsid w:val="00E50F1C"/>
    <w:rsid w:val="00E66391"/>
    <w:rsid w:val="00E76771"/>
    <w:rsid w:val="00E918EF"/>
    <w:rsid w:val="00EA1BD3"/>
    <w:rsid w:val="00EA5E3B"/>
    <w:rsid w:val="00EB3871"/>
    <w:rsid w:val="00EB6A59"/>
    <w:rsid w:val="00ED6976"/>
    <w:rsid w:val="00EE23C8"/>
    <w:rsid w:val="00EE3D33"/>
    <w:rsid w:val="00EF4089"/>
    <w:rsid w:val="00EF4E57"/>
    <w:rsid w:val="00EF5917"/>
    <w:rsid w:val="00EF780A"/>
    <w:rsid w:val="00F11527"/>
    <w:rsid w:val="00F47453"/>
    <w:rsid w:val="00F61282"/>
    <w:rsid w:val="00F67EB6"/>
    <w:rsid w:val="00F7703E"/>
    <w:rsid w:val="00F8111A"/>
    <w:rsid w:val="00F90F1F"/>
    <w:rsid w:val="00FA5EDC"/>
    <w:rsid w:val="00FB49A0"/>
    <w:rsid w:val="00FC75F9"/>
    <w:rsid w:val="00FD2AF9"/>
    <w:rsid w:val="00FE2DE9"/>
    <w:rsid w:val="00FF3868"/>
    <w:rsid w:val="0757B8A8"/>
    <w:rsid w:val="0CD79B5C"/>
    <w:rsid w:val="0CDFDD0C"/>
    <w:rsid w:val="1433B0FD"/>
    <w:rsid w:val="1A878B4E"/>
    <w:rsid w:val="1DB14CA2"/>
    <w:rsid w:val="1EBEA575"/>
    <w:rsid w:val="22DA9E9A"/>
    <w:rsid w:val="26DA1BEA"/>
    <w:rsid w:val="2AB364E5"/>
    <w:rsid w:val="2AF2994D"/>
    <w:rsid w:val="2EB6E15A"/>
    <w:rsid w:val="2F985CFC"/>
    <w:rsid w:val="3390A07B"/>
    <w:rsid w:val="351DF3F2"/>
    <w:rsid w:val="39031A39"/>
    <w:rsid w:val="3E9CF8CC"/>
    <w:rsid w:val="3FB6C210"/>
    <w:rsid w:val="48407407"/>
    <w:rsid w:val="4C75023C"/>
    <w:rsid w:val="65DB55F2"/>
    <w:rsid w:val="695F8FB8"/>
    <w:rsid w:val="69EDCCEE"/>
    <w:rsid w:val="6B65CACE"/>
    <w:rsid w:val="6D7EA88F"/>
    <w:rsid w:val="755BFBB7"/>
    <w:rsid w:val="76B69B5D"/>
    <w:rsid w:val="79CD9DEF"/>
    <w:rsid w:val="7AE76942"/>
    <w:rsid w:val="7B2897C9"/>
    <w:rsid w:val="7C46F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961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AEC"/>
    <w:pPr>
      <w:tabs>
        <w:tab w:val="center" w:pos="4680"/>
        <w:tab w:val="right" w:pos="9360"/>
      </w:tabs>
    </w:pPr>
  </w:style>
  <w:style w:type="character" w:customStyle="1" w:styleId="HeaderChar">
    <w:name w:val="Header Char"/>
    <w:basedOn w:val="DefaultParagraphFont"/>
    <w:link w:val="Header"/>
    <w:uiPriority w:val="99"/>
    <w:rsid w:val="00B11AEC"/>
  </w:style>
  <w:style w:type="paragraph" w:styleId="Footer">
    <w:name w:val="footer"/>
    <w:basedOn w:val="Normal"/>
    <w:link w:val="FooterChar"/>
    <w:uiPriority w:val="99"/>
    <w:unhideWhenUsed/>
    <w:rsid w:val="00B11AEC"/>
    <w:pPr>
      <w:tabs>
        <w:tab w:val="center" w:pos="4680"/>
        <w:tab w:val="right" w:pos="9360"/>
      </w:tabs>
    </w:pPr>
  </w:style>
  <w:style w:type="character" w:customStyle="1" w:styleId="FooterChar">
    <w:name w:val="Footer Char"/>
    <w:basedOn w:val="DefaultParagraphFont"/>
    <w:link w:val="Footer"/>
    <w:uiPriority w:val="99"/>
    <w:rsid w:val="00B11AEC"/>
  </w:style>
  <w:style w:type="paragraph" w:customStyle="1" w:styleId="paragraph">
    <w:name w:val="paragraph"/>
    <w:basedOn w:val="Normal"/>
    <w:rsid w:val="00B11AE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B11AEC"/>
  </w:style>
  <w:style w:type="character" w:customStyle="1" w:styleId="eop">
    <w:name w:val="eop"/>
    <w:basedOn w:val="DefaultParagraphFont"/>
    <w:rsid w:val="00B11AEC"/>
  </w:style>
  <w:style w:type="character" w:styleId="Emphasis">
    <w:name w:val="Emphasis"/>
    <w:basedOn w:val="DefaultParagraphFont"/>
    <w:uiPriority w:val="20"/>
    <w:qFormat/>
    <w:rsid w:val="00B11AEC"/>
    <w:rPr>
      <w:i/>
      <w:iCs/>
    </w:rPr>
  </w:style>
  <w:style w:type="character" w:styleId="Hyperlink">
    <w:name w:val="Hyperlink"/>
    <w:basedOn w:val="DefaultParagraphFont"/>
    <w:uiPriority w:val="99"/>
    <w:unhideWhenUsed/>
    <w:rsid w:val="004112E1"/>
    <w:rPr>
      <w:color w:val="0563C1" w:themeColor="hyperlink"/>
      <w:u w:val="single"/>
    </w:rPr>
  </w:style>
  <w:style w:type="character" w:styleId="UnresolvedMention">
    <w:name w:val="Unresolved Mention"/>
    <w:basedOn w:val="DefaultParagraphFont"/>
    <w:uiPriority w:val="99"/>
    <w:semiHidden/>
    <w:unhideWhenUsed/>
    <w:rsid w:val="004112E1"/>
    <w:rPr>
      <w:color w:val="605E5C"/>
      <w:shd w:val="clear" w:color="auto" w:fill="E1DFDD"/>
    </w:rPr>
  </w:style>
  <w:style w:type="paragraph" w:styleId="Revision">
    <w:name w:val="Revision"/>
    <w:hidden/>
    <w:uiPriority w:val="99"/>
    <w:semiHidden/>
    <w:rsid w:val="003A69DF"/>
  </w:style>
  <w:style w:type="paragraph" w:styleId="NormalWeb">
    <w:name w:val="Normal (Web)"/>
    <w:basedOn w:val="Normal"/>
    <w:uiPriority w:val="99"/>
    <w:unhideWhenUsed/>
    <w:rsid w:val="00F7703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48799">
      <w:bodyDiv w:val="1"/>
      <w:marLeft w:val="0"/>
      <w:marRight w:val="0"/>
      <w:marTop w:val="0"/>
      <w:marBottom w:val="0"/>
      <w:divBdr>
        <w:top w:val="none" w:sz="0" w:space="0" w:color="auto"/>
        <w:left w:val="none" w:sz="0" w:space="0" w:color="auto"/>
        <w:bottom w:val="none" w:sz="0" w:space="0" w:color="auto"/>
        <w:right w:val="none" w:sz="0" w:space="0" w:color="auto"/>
      </w:divBdr>
    </w:div>
    <w:div w:id="375590924">
      <w:bodyDiv w:val="1"/>
      <w:marLeft w:val="0"/>
      <w:marRight w:val="0"/>
      <w:marTop w:val="0"/>
      <w:marBottom w:val="0"/>
      <w:divBdr>
        <w:top w:val="none" w:sz="0" w:space="0" w:color="auto"/>
        <w:left w:val="none" w:sz="0" w:space="0" w:color="auto"/>
        <w:bottom w:val="none" w:sz="0" w:space="0" w:color="auto"/>
        <w:right w:val="none" w:sz="0" w:space="0" w:color="auto"/>
      </w:divBdr>
    </w:div>
    <w:div w:id="467747696">
      <w:bodyDiv w:val="1"/>
      <w:marLeft w:val="0"/>
      <w:marRight w:val="0"/>
      <w:marTop w:val="0"/>
      <w:marBottom w:val="0"/>
      <w:divBdr>
        <w:top w:val="none" w:sz="0" w:space="0" w:color="auto"/>
        <w:left w:val="none" w:sz="0" w:space="0" w:color="auto"/>
        <w:bottom w:val="none" w:sz="0" w:space="0" w:color="auto"/>
        <w:right w:val="none" w:sz="0" w:space="0" w:color="auto"/>
      </w:divBdr>
    </w:div>
    <w:div w:id="849948442">
      <w:bodyDiv w:val="1"/>
      <w:marLeft w:val="0"/>
      <w:marRight w:val="0"/>
      <w:marTop w:val="0"/>
      <w:marBottom w:val="0"/>
      <w:divBdr>
        <w:top w:val="none" w:sz="0" w:space="0" w:color="auto"/>
        <w:left w:val="none" w:sz="0" w:space="0" w:color="auto"/>
        <w:bottom w:val="none" w:sz="0" w:space="0" w:color="auto"/>
        <w:right w:val="none" w:sz="0" w:space="0" w:color="auto"/>
      </w:divBdr>
    </w:div>
    <w:div w:id="1563322021">
      <w:bodyDiv w:val="1"/>
      <w:marLeft w:val="0"/>
      <w:marRight w:val="0"/>
      <w:marTop w:val="0"/>
      <w:marBottom w:val="0"/>
      <w:divBdr>
        <w:top w:val="none" w:sz="0" w:space="0" w:color="auto"/>
        <w:left w:val="none" w:sz="0" w:space="0" w:color="auto"/>
        <w:bottom w:val="none" w:sz="0" w:space="0" w:color="auto"/>
        <w:right w:val="none" w:sz="0" w:space="0" w:color="auto"/>
      </w:divBdr>
    </w:div>
    <w:div w:id="1585139422">
      <w:bodyDiv w:val="1"/>
      <w:marLeft w:val="0"/>
      <w:marRight w:val="0"/>
      <w:marTop w:val="0"/>
      <w:marBottom w:val="0"/>
      <w:divBdr>
        <w:top w:val="none" w:sz="0" w:space="0" w:color="auto"/>
        <w:left w:val="none" w:sz="0" w:space="0" w:color="auto"/>
        <w:bottom w:val="none" w:sz="0" w:space="0" w:color="auto"/>
        <w:right w:val="none" w:sz="0" w:space="0" w:color="auto"/>
      </w:divBdr>
      <w:divsChild>
        <w:div w:id="56562314">
          <w:marLeft w:val="0"/>
          <w:marRight w:val="0"/>
          <w:marTop w:val="0"/>
          <w:marBottom w:val="0"/>
          <w:divBdr>
            <w:top w:val="none" w:sz="0" w:space="0" w:color="auto"/>
            <w:left w:val="none" w:sz="0" w:space="0" w:color="auto"/>
            <w:bottom w:val="none" w:sz="0" w:space="0" w:color="auto"/>
            <w:right w:val="none" w:sz="0" w:space="0" w:color="auto"/>
          </w:divBdr>
        </w:div>
        <w:div w:id="114834483">
          <w:marLeft w:val="0"/>
          <w:marRight w:val="0"/>
          <w:marTop w:val="0"/>
          <w:marBottom w:val="0"/>
          <w:divBdr>
            <w:top w:val="none" w:sz="0" w:space="0" w:color="auto"/>
            <w:left w:val="none" w:sz="0" w:space="0" w:color="auto"/>
            <w:bottom w:val="none" w:sz="0" w:space="0" w:color="auto"/>
            <w:right w:val="none" w:sz="0" w:space="0" w:color="auto"/>
          </w:divBdr>
        </w:div>
        <w:div w:id="330451475">
          <w:marLeft w:val="0"/>
          <w:marRight w:val="0"/>
          <w:marTop w:val="0"/>
          <w:marBottom w:val="0"/>
          <w:divBdr>
            <w:top w:val="none" w:sz="0" w:space="0" w:color="auto"/>
            <w:left w:val="none" w:sz="0" w:space="0" w:color="auto"/>
            <w:bottom w:val="none" w:sz="0" w:space="0" w:color="auto"/>
            <w:right w:val="none" w:sz="0" w:space="0" w:color="auto"/>
          </w:divBdr>
        </w:div>
        <w:div w:id="912861516">
          <w:marLeft w:val="0"/>
          <w:marRight w:val="0"/>
          <w:marTop w:val="0"/>
          <w:marBottom w:val="0"/>
          <w:divBdr>
            <w:top w:val="none" w:sz="0" w:space="0" w:color="auto"/>
            <w:left w:val="none" w:sz="0" w:space="0" w:color="auto"/>
            <w:bottom w:val="none" w:sz="0" w:space="0" w:color="auto"/>
            <w:right w:val="none" w:sz="0" w:space="0" w:color="auto"/>
          </w:divBdr>
        </w:div>
        <w:div w:id="1191190810">
          <w:marLeft w:val="0"/>
          <w:marRight w:val="0"/>
          <w:marTop w:val="0"/>
          <w:marBottom w:val="0"/>
          <w:divBdr>
            <w:top w:val="none" w:sz="0" w:space="0" w:color="auto"/>
            <w:left w:val="none" w:sz="0" w:space="0" w:color="auto"/>
            <w:bottom w:val="none" w:sz="0" w:space="0" w:color="auto"/>
            <w:right w:val="none" w:sz="0" w:space="0" w:color="auto"/>
          </w:divBdr>
        </w:div>
        <w:div w:id="1273585039">
          <w:marLeft w:val="0"/>
          <w:marRight w:val="0"/>
          <w:marTop w:val="0"/>
          <w:marBottom w:val="0"/>
          <w:divBdr>
            <w:top w:val="none" w:sz="0" w:space="0" w:color="auto"/>
            <w:left w:val="none" w:sz="0" w:space="0" w:color="auto"/>
            <w:bottom w:val="none" w:sz="0" w:space="0" w:color="auto"/>
            <w:right w:val="none" w:sz="0" w:space="0" w:color="auto"/>
          </w:divBdr>
        </w:div>
        <w:div w:id="1362436261">
          <w:marLeft w:val="0"/>
          <w:marRight w:val="0"/>
          <w:marTop w:val="0"/>
          <w:marBottom w:val="0"/>
          <w:divBdr>
            <w:top w:val="none" w:sz="0" w:space="0" w:color="auto"/>
            <w:left w:val="none" w:sz="0" w:space="0" w:color="auto"/>
            <w:bottom w:val="none" w:sz="0" w:space="0" w:color="auto"/>
            <w:right w:val="none" w:sz="0" w:space="0" w:color="auto"/>
          </w:divBdr>
        </w:div>
        <w:div w:id="1370645835">
          <w:marLeft w:val="0"/>
          <w:marRight w:val="0"/>
          <w:marTop w:val="0"/>
          <w:marBottom w:val="0"/>
          <w:divBdr>
            <w:top w:val="none" w:sz="0" w:space="0" w:color="auto"/>
            <w:left w:val="none" w:sz="0" w:space="0" w:color="auto"/>
            <w:bottom w:val="none" w:sz="0" w:space="0" w:color="auto"/>
            <w:right w:val="none" w:sz="0" w:space="0" w:color="auto"/>
          </w:divBdr>
        </w:div>
        <w:div w:id="1383628734">
          <w:marLeft w:val="0"/>
          <w:marRight w:val="0"/>
          <w:marTop w:val="0"/>
          <w:marBottom w:val="0"/>
          <w:divBdr>
            <w:top w:val="none" w:sz="0" w:space="0" w:color="auto"/>
            <w:left w:val="none" w:sz="0" w:space="0" w:color="auto"/>
            <w:bottom w:val="none" w:sz="0" w:space="0" w:color="auto"/>
            <w:right w:val="none" w:sz="0" w:space="0" w:color="auto"/>
          </w:divBdr>
        </w:div>
        <w:div w:id="1508061506">
          <w:marLeft w:val="0"/>
          <w:marRight w:val="0"/>
          <w:marTop w:val="0"/>
          <w:marBottom w:val="0"/>
          <w:divBdr>
            <w:top w:val="none" w:sz="0" w:space="0" w:color="auto"/>
            <w:left w:val="none" w:sz="0" w:space="0" w:color="auto"/>
            <w:bottom w:val="none" w:sz="0" w:space="0" w:color="auto"/>
            <w:right w:val="none" w:sz="0" w:space="0" w:color="auto"/>
          </w:divBdr>
        </w:div>
        <w:div w:id="1665425745">
          <w:marLeft w:val="0"/>
          <w:marRight w:val="0"/>
          <w:marTop w:val="0"/>
          <w:marBottom w:val="0"/>
          <w:divBdr>
            <w:top w:val="none" w:sz="0" w:space="0" w:color="auto"/>
            <w:left w:val="none" w:sz="0" w:space="0" w:color="auto"/>
            <w:bottom w:val="none" w:sz="0" w:space="0" w:color="auto"/>
            <w:right w:val="none" w:sz="0" w:space="0" w:color="auto"/>
          </w:divBdr>
        </w:div>
        <w:div w:id="1727994985">
          <w:marLeft w:val="0"/>
          <w:marRight w:val="0"/>
          <w:marTop w:val="0"/>
          <w:marBottom w:val="0"/>
          <w:divBdr>
            <w:top w:val="none" w:sz="0" w:space="0" w:color="auto"/>
            <w:left w:val="none" w:sz="0" w:space="0" w:color="auto"/>
            <w:bottom w:val="none" w:sz="0" w:space="0" w:color="auto"/>
            <w:right w:val="none" w:sz="0" w:space="0" w:color="auto"/>
          </w:divBdr>
        </w:div>
        <w:div w:id="1979721830">
          <w:marLeft w:val="0"/>
          <w:marRight w:val="0"/>
          <w:marTop w:val="0"/>
          <w:marBottom w:val="0"/>
          <w:divBdr>
            <w:top w:val="none" w:sz="0" w:space="0" w:color="auto"/>
            <w:left w:val="none" w:sz="0" w:space="0" w:color="auto"/>
            <w:bottom w:val="none" w:sz="0" w:space="0" w:color="auto"/>
            <w:right w:val="none" w:sz="0" w:space="0" w:color="auto"/>
          </w:divBdr>
        </w:div>
        <w:div w:id="2010019983">
          <w:marLeft w:val="0"/>
          <w:marRight w:val="0"/>
          <w:marTop w:val="0"/>
          <w:marBottom w:val="0"/>
          <w:divBdr>
            <w:top w:val="none" w:sz="0" w:space="0" w:color="auto"/>
            <w:left w:val="none" w:sz="0" w:space="0" w:color="auto"/>
            <w:bottom w:val="none" w:sz="0" w:space="0" w:color="auto"/>
            <w:right w:val="none" w:sz="0" w:space="0" w:color="auto"/>
          </w:divBdr>
        </w:div>
      </w:divsChild>
    </w:div>
    <w:div w:id="1709640043">
      <w:bodyDiv w:val="1"/>
      <w:marLeft w:val="0"/>
      <w:marRight w:val="0"/>
      <w:marTop w:val="0"/>
      <w:marBottom w:val="0"/>
      <w:divBdr>
        <w:top w:val="none" w:sz="0" w:space="0" w:color="auto"/>
        <w:left w:val="none" w:sz="0" w:space="0" w:color="auto"/>
        <w:bottom w:val="none" w:sz="0" w:space="0" w:color="auto"/>
        <w:right w:val="none" w:sz="0" w:space="0" w:color="auto"/>
      </w:divBdr>
    </w:div>
    <w:div w:id="2082168216">
      <w:bodyDiv w:val="1"/>
      <w:marLeft w:val="0"/>
      <w:marRight w:val="0"/>
      <w:marTop w:val="0"/>
      <w:marBottom w:val="0"/>
      <w:divBdr>
        <w:top w:val="none" w:sz="0" w:space="0" w:color="auto"/>
        <w:left w:val="none" w:sz="0" w:space="0" w:color="auto"/>
        <w:bottom w:val="none" w:sz="0" w:space="0" w:color="auto"/>
        <w:right w:val="none" w:sz="0" w:space="0" w:color="auto"/>
      </w:divBdr>
    </w:div>
    <w:div w:id="211748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1415</Words>
  <Characters>8067</Characters>
  <Application>Microsoft Office Word</Application>
  <DocSecurity>0</DocSecurity>
  <Lines>67</Lines>
  <Paragraphs>18</Paragraphs>
  <ScaleCrop>false</ScaleCrop>
  <Manager/>
  <Company/>
  <LinksUpToDate>false</LinksUpToDate>
  <CharactersWithSpaces>9464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2026-02-11T22:57:00Z</dcterms:created>
  <dcterms:modified xsi:type="dcterms:W3CDTF">2026-04-27T21:01:00Z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1874dac5-2f1f-423a-9433-4d1f4781989a</vt:lpwstr>
  </property>
</Properties>
</file>