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2C3691" w14:textId="77777777" w:rsidR="004F0961" w:rsidRDefault="001F6395">
      <w:pPr>
        <w:spacing w:after="120"/>
      </w:pPr>
      <w:r>
        <w:rPr>
          <w:b/>
          <w:bCs/>
        </w:rPr>
        <w:t>Time, Tools, and Trust: Supporting Educators to Implement Global Food Security Education</w:t>
      </w:r>
    </w:p>
    <w:p w14:paraId="34DD5E26" w14:textId="10606DFB" w:rsidR="004F0961" w:rsidRDefault="001F6395" w:rsidP="00D768FA">
      <w:pPr>
        <w:spacing w:after="80"/>
        <w:ind w:firstLine="720"/>
      </w:pPr>
      <w:r>
        <w:t xml:space="preserve">Food security is among the defining global challenges of the 21st century, and agricultural education </w:t>
      </w:r>
      <w:r w:rsidR="003F32A8">
        <w:t>can</w:t>
      </w:r>
      <w:r>
        <w:t xml:space="preserve"> prepare young people to understand and act on it (Boix Mansilla &amp; Jackson, 2011; Spence et al., 2023). Higher education institutions play a key role in this effort </w:t>
      </w:r>
      <w:r w:rsidR="003F32A8">
        <w:t xml:space="preserve">by engaging with secondary schools and helping </w:t>
      </w:r>
      <w:r>
        <w:t>develop the next generation of leaders who will shape local and global food systems (Foster et al., 2014; Renwick et al., 2021).</w:t>
      </w:r>
      <w:r w:rsidR="00D768FA">
        <w:t xml:space="preserve"> </w:t>
      </w:r>
      <w:r>
        <w:t>One example is the World Food Prize Foundation’s network of Youth Institutes and Global Challenge curriculum, through which more than 40 universities annually engage high school students in examining global food security. Students complete a Global Challenge research paper analyzing a global issue in a country of their choice and present their proposed solutions at institute roundtables, while interacting with local leaders, participating in hands-on activities, and exploring related careers. This problem-based, experiential approach connects students with authentic audiences</w:t>
      </w:r>
      <w:r w:rsidR="003F32A8">
        <w:t xml:space="preserve"> and deepens</w:t>
      </w:r>
      <w:r>
        <w:t xml:space="preserve"> engagement with global agricultural issues.</w:t>
      </w:r>
      <w:r w:rsidR="00D768FA">
        <w:t xml:space="preserve"> </w:t>
      </w:r>
      <w:r>
        <w:t xml:space="preserve">Although such programs offer valuable infrastructure that can be integrated into existing curricula, educators and students face significant </w:t>
      </w:r>
      <w:r w:rsidR="003F32A8">
        <w:t>time demands, including pressure</w:t>
      </w:r>
      <w:r>
        <w:t xml:space="preserve"> to meet state standards, prepare for standardized assessments, and manage existing curricular commitments. Agriculture teachers consistently report a need for relevant, ready-to-use instruction and sustained professional development to address evolving classroom demands (Davis &amp; Jayaratne, 2015). These constraints often make it difficult to adopt externally developed programs, particularly when implementation guidance or support is lacking. Despite the importance of university–secondary school partnerships, limited research exists to guide university strategies for implementing global food security education in collaboration with educators.</w:t>
      </w:r>
      <w:r w:rsidR="00BC0941">
        <w:t xml:space="preserve"> </w:t>
      </w:r>
      <w:r>
        <w:t xml:space="preserve">This poster presents findings from an action research study examining strategies for implementing the World Food Prize Foundation’s Global Challenge curriculum in a </w:t>
      </w:r>
      <w:r w:rsidR="00D768FA">
        <w:t xml:space="preserve">new </w:t>
      </w:r>
      <w:r>
        <w:t>state</w:t>
      </w:r>
      <w:r w:rsidR="00D768FA">
        <w:t xml:space="preserve"> institute</w:t>
      </w:r>
      <w:r w:rsidR="00E92202">
        <w:t xml:space="preserve"> at Colorado State University</w:t>
      </w:r>
      <w:r>
        <w:t>. A USDA NIFA Secondary Education Challenge Grant supported two years of program expansion, during which university staff and their partners conducted two cycles of action research to examine educator needs and experiences with implementation supports.</w:t>
      </w:r>
    </w:p>
    <w:p w14:paraId="2B71A030" w14:textId="77777777" w:rsidR="004F0961" w:rsidRDefault="001F6395" w:rsidP="00BC0941">
      <w:pPr>
        <w:spacing w:before="120" w:after="60"/>
        <w:jc w:val="center"/>
      </w:pPr>
      <w:r>
        <w:rPr>
          <w:b/>
          <w:bCs/>
        </w:rPr>
        <w:t>Theoretical/Conceptual Framework</w:t>
      </w:r>
    </w:p>
    <w:p w14:paraId="617DF64D" w14:textId="77777777" w:rsidR="005D59DC" w:rsidRDefault="005D59DC" w:rsidP="005D59DC">
      <w:pPr>
        <w:spacing w:before="120" w:after="60"/>
        <w:ind w:firstLine="720"/>
      </w:pPr>
      <w:r w:rsidRPr="005D59DC">
        <w:t xml:space="preserve">This action research study draws on Sancar et al.'s (2021) framework for teacher professional development, which conceptualizes development as a continuous, multidimensional process that unfolds across a teacher's career and is shaped by reforms, school context, curricula, collaboration, and formal and informal supports. Because these components are interrelated and interdependent, meaningful change in practice depends on alignment among them rather than on any single input. The framework suits this study because implementing a new global food security curriculum asks educators to integrate unfamiliar content and pedagogy into established courses, a process mediated by available supports and collaborative structures. Three components (curricula, collaboration, and supporting activities) guided both the design of the action research cycles and the analysis of educators' experiences. Curricula encompassed the Global Challenge resources educators were asked to adopt; supporting activities included workshops, online modules, stipends, and professional development sessions; and collaboration captured the peer learning and university–secondary partnership through which educators refined support. Framing the university–secondary relationship as an intersectoral partnership situates teacher collaboration as a driver of professional growth and program sustainability (Renwick et </w:t>
      </w:r>
      <w:r w:rsidRPr="005D59DC">
        <w:lastRenderedPageBreak/>
        <w:t>al., 2021; Vangrieken et al., 2015) and focused attention on how collaborative supports shaped educators' capacity and willingness to implement the curriculum.</w:t>
      </w:r>
    </w:p>
    <w:p w14:paraId="28B89C94" w14:textId="2147FB3C" w:rsidR="004F0961" w:rsidRDefault="001F6395" w:rsidP="00BC0941">
      <w:pPr>
        <w:spacing w:before="120" w:after="60"/>
        <w:jc w:val="center"/>
      </w:pPr>
      <w:r>
        <w:rPr>
          <w:b/>
          <w:bCs/>
        </w:rPr>
        <w:t>Metho</w:t>
      </w:r>
      <w:r w:rsidR="00BC0941">
        <w:rPr>
          <w:b/>
          <w:bCs/>
        </w:rPr>
        <w:t>ds</w:t>
      </w:r>
    </w:p>
    <w:p w14:paraId="5225B18F" w14:textId="588F9FFF" w:rsidR="004F0961" w:rsidRDefault="001F6395" w:rsidP="00D768FA">
      <w:pPr>
        <w:spacing w:after="80"/>
        <w:ind w:firstLine="720"/>
      </w:pPr>
      <w:r>
        <w:t xml:space="preserve">The study employed </w:t>
      </w:r>
      <w:r w:rsidR="003F32A8">
        <w:t>a mixed-methods</w:t>
      </w:r>
      <w:r>
        <w:t xml:space="preserve"> action research design to examine implementation strategies in the state’s secondary classrooms. Action research was selected for its iterative, practitioner-focused approach, allowing university program staff to investigate and refine educator supports while the program was expanding (Mertler, 2020). The study unfolded over two cycles, each following a plan–act–develop–reflect process. Each cycle included implementing strategies, evaluating them through post-program educator surveys, interviews, and focus groups, and subsequently refining support strategies based on findings.</w:t>
      </w:r>
      <w:r w:rsidR="00D768FA">
        <w:t xml:space="preserve"> </w:t>
      </w:r>
      <w:r>
        <w:t xml:space="preserve">Data were collected by a team of researchers both internal and external to the program to ensure relevance and integration and to minimize bias. Data sources included a post-program survey administered to all participating educators and individual interviews or focus groups with educator participants. During the first cycle, </w:t>
      </w:r>
      <w:r w:rsidR="00387F25">
        <w:t>we conducted three individual interviews and one focus group with four educators</w:t>
      </w:r>
      <w:r>
        <w:t xml:space="preserve">. </w:t>
      </w:r>
      <w:r w:rsidR="00387F25">
        <w:t>In the second cycle, we conducted one individual interview and two mini-focus groups with two participants each</w:t>
      </w:r>
      <w:r>
        <w:t>.</w:t>
      </w:r>
    </w:p>
    <w:p w14:paraId="0B198D60" w14:textId="56E4FCE1" w:rsidR="004F0961" w:rsidRDefault="001F6395" w:rsidP="00BC0941">
      <w:pPr>
        <w:spacing w:before="120" w:after="60"/>
        <w:jc w:val="center"/>
      </w:pPr>
      <w:r>
        <w:rPr>
          <w:b/>
          <w:bCs/>
        </w:rPr>
        <w:t>Findings</w:t>
      </w:r>
    </w:p>
    <w:p w14:paraId="3F3E8E4D" w14:textId="70AF44E3" w:rsidR="004F0961" w:rsidRDefault="001F6395" w:rsidP="00D768FA">
      <w:pPr>
        <w:spacing w:after="80"/>
        <w:ind w:firstLine="720"/>
      </w:pPr>
      <w:r>
        <w:t xml:space="preserve">The first cycle of data collection and analysis found that educators valued the Global Challenge curriculum for broadening student perspectives, increasing access to scholarships, and enhancing instruction. However, they reported limited </w:t>
      </w:r>
      <w:r w:rsidR="00387F25">
        <w:t>confidence in</w:t>
      </w:r>
      <w:r>
        <w:t xml:space="preserve"> integrating the material and emphasized the need for ready-to-use lessons, </w:t>
      </w:r>
      <w:r w:rsidR="006A3543">
        <w:t>standards alignment, and support for integrating it</w:t>
      </w:r>
      <w:r>
        <w:t xml:space="preserve"> into existing courses. They also highlighted the </w:t>
      </w:r>
      <w:r w:rsidR="006A3543">
        <w:t>need to recognize</w:t>
      </w:r>
      <w:r>
        <w:t xml:space="preserve"> the additional effort required to adopt new programming.</w:t>
      </w:r>
      <w:r w:rsidR="00D768FA">
        <w:t xml:space="preserve"> </w:t>
      </w:r>
      <w:r>
        <w:t xml:space="preserve">These findings informed new strategies, including </w:t>
      </w:r>
      <w:r w:rsidR="006A3543">
        <w:t>developing lesson plans and online modules, offering an educator stipend for a workshop series and campus event for new participants, and leading a professional development session with</w:t>
      </w:r>
      <w:r>
        <w:t xml:space="preserve"> past program participants. The second cycle showed that embedding the project as a class assignment was a successful strategy that allowed educators to address real instructional challenges. Educators also valued the additional resources and opportunities for peer learning, such as virtual sessions where first-time participants shared resources and troubleshot challenges together. Finally, participants emphasized that offering a stipend when asking busy teachers to add something new to an already full workload signaled that the program takes educators’ time seriously and motivated engagement.</w:t>
      </w:r>
    </w:p>
    <w:p w14:paraId="5DE5EF9F" w14:textId="6431C510" w:rsidR="004F0961" w:rsidRDefault="001F6395" w:rsidP="00BC0941">
      <w:pPr>
        <w:spacing w:before="120" w:after="60"/>
        <w:jc w:val="center"/>
      </w:pPr>
      <w:r>
        <w:rPr>
          <w:b/>
          <w:bCs/>
        </w:rPr>
        <w:t>Conclusions</w:t>
      </w:r>
      <w:r w:rsidR="00BC0941">
        <w:rPr>
          <w:b/>
          <w:bCs/>
        </w:rPr>
        <w:t xml:space="preserve"> &amp; Recommendations</w:t>
      </w:r>
    </w:p>
    <w:p w14:paraId="741FB369" w14:textId="52BC6CD6" w:rsidR="00BC0941" w:rsidRPr="00D768FA" w:rsidRDefault="001F6395" w:rsidP="00D768FA">
      <w:pPr>
        <w:spacing w:after="80"/>
        <w:ind w:firstLine="720"/>
      </w:pPr>
      <w:r>
        <w:t>Engaging in action research accompanied a 254% increase in student participation from the second to the third year of the Youth Institute. Findings reinforce Sancar et al.’s (2021) emphasis on curriculum integration, collaboration, and sustained support as critical to effective professional development, and they offer practical guidance for universities implementing programming with secondary educators. The results also underscore the importance of context-sensitive, scalable educator supports across diverse school settings.</w:t>
      </w:r>
      <w:r w:rsidR="00D768FA">
        <w:t xml:space="preserve"> </w:t>
      </w:r>
      <w:r w:rsidR="00D768FA" w:rsidRPr="00D768FA">
        <w:t>Universities partnering with secondary schools should pair ready-to-use, standards-aligned curriculum materials with sustained collaborative supports, such as peer learning sessions and stipends that acknowledge educators' time, rather than distributing standalone resources and expecting independent adoption. Future research should examine the durability of these supports across diverse school contexts and extend measurement beyond participation counts to student-level learning outcomes, clarifying which specific supports most strongly drive sustained implementation.</w:t>
      </w:r>
      <w:r w:rsidR="00BC0941">
        <w:rPr>
          <w:b/>
          <w:bCs/>
        </w:rPr>
        <w:br w:type="page"/>
      </w:r>
    </w:p>
    <w:p w14:paraId="359C000F" w14:textId="26144ECC" w:rsidR="004F0961" w:rsidRDefault="001F6395" w:rsidP="00BC0941">
      <w:pPr>
        <w:spacing w:before="120" w:after="60"/>
        <w:jc w:val="center"/>
      </w:pPr>
      <w:r>
        <w:rPr>
          <w:b/>
          <w:bCs/>
        </w:rPr>
        <w:lastRenderedPageBreak/>
        <w:t>References</w:t>
      </w:r>
    </w:p>
    <w:p w14:paraId="3CBB0116" w14:textId="77777777" w:rsidR="004F0961" w:rsidRDefault="001F6395">
      <w:pPr>
        <w:spacing w:after="120"/>
        <w:ind w:left="720" w:hanging="720"/>
      </w:pPr>
      <w:r>
        <w:t xml:space="preserve">Boix Mansilla, V., &amp; Jackson, A. W. (2011). </w:t>
      </w:r>
      <w:r>
        <w:rPr>
          <w:i/>
          <w:iCs/>
        </w:rPr>
        <w:t>Educating for global competence: Preparing our youth to engage the world.</w:t>
      </w:r>
      <w:r>
        <w:t xml:space="preserve"> Asia Society.</w:t>
      </w:r>
    </w:p>
    <w:p w14:paraId="6D258753" w14:textId="77777777" w:rsidR="004F0961" w:rsidRDefault="001F6395">
      <w:pPr>
        <w:spacing w:after="120"/>
        <w:ind w:left="720" w:hanging="720"/>
      </w:pPr>
      <w:r>
        <w:t xml:space="preserve">Davis, R. J., &amp; Jayaratne, K. S. U. (2015). In-service training needs of agriculture teachers for preparing them to be effective in the 21st century. </w:t>
      </w:r>
      <w:r>
        <w:rPr>
          <w:i/>
          <w:iCs/>
        </w:rPr>
        <w:t>Journal of Agricultural Education, 56</w:t>
      </w:r>
      <w:r>
        <w:t xml:space="preserve">(4), 47–58. </w:t>
      </w:r>
      <w:hyperlink r:id="rId7" w:history="1">
        <w:r>
          <w:rPr>
            <w:rStyle w:val="Hyperlink"/>
          </w:rPr>
          <w:t>https://doi.org/10.5032/jae.2015.04047</w:t>
        </w:r>
      </w:hyperlink>
    </w:p>
    <w:p w14:paraId="53C56F4A" w14:textId="77777777" w:rsidR="004F0961" w:rsidRDefault="001F6395">
      <w:pPr>
        <w:spacing w:after="120"/>
        <w:ind w:left="720" w:hanging="720"/>
      </w:pPr>
      <w:r>
        <w:t xml:space="preserve">Foster, D. D., Rice, L. L. S., Foster, M. J., &amp; Barrick, R. K. (2014). Preparing agricultural educators for the world: Describing global competency in agricultural teacher candidates. </w:t>
      </w:r>
      <w:r>
        <w:rPr>
          <w:i/>
          <w:iCs/>
        </w:rPr>
        <w:t>Journal of Agricultural Education, 55</w:t>
      </w:r>
      <w:r>
        <w:t xml:space="preserve">(1), 51–64. </w:t>
      </w:r>
      <w:hyperlink r:id="rId8" w:history="1">
        <w:r>
          <w:rPr>
            <w:rStyle w:val="Hyperlink"/>
          </w:rPr>
          <w:t>https://doi.org/10.5032/jae.2014.01051</w:t>
        </w:r>
      </w:hyperlink>
    </w:p>
    <w:p w14:paraId="584B58B3" w14:textId="77777777" w:rsidR="004F0961" w:rsidRDefault="001F6395">
      <w:pPr>
        <w:spacing w:after="120"/>
        <w:ind w:left="720" w:hanging="720"/>
      </w:pPr>
      <w:r>
        <w:t xml:space="preserve">Mertler, C. A. (2020). </w:t>
      </w:r>
      <w:r>
        <w:rPr>
          <w:i/>
          <w:iCs/>
        </w:rPr>
        <w:t>Action research: Improving schools and empowering educators</w:t>
      </w:r>
      <w:r>
        <w:t xml:space="preserve"> (6th ed.). SAGE Publications.</w:t>
      </w:r>
    </w:p>
    <w:p w14:paraId="5D96BDAB" w14:textId="77777777" w:rsidR="004F0961" w:rsidRDefault="001F6395">
      <w:pPr>
        <w:spacing w:after="120"/>
        <w:ind w:left="720" w:hanging="720"/>
      </w:pPr>
      <w:r>
        <w:t xml:space="preserve">Renwick, K., Powell, L. J., &amp; Edwards, G. (2021). “We are all in this together”: Investigating alignments in intersectoral partnerships dedicated to K–12 food literacy education. </w:t>
      </w:r>
      <w:r>
        <w:rPr>
          <w:i/>
          <w:iCs/>
        </w:rPr>
        <w:t>Health Education Journal, 80</w:t>
      </w:r>
      <w:r>
        <w:t xml:space="preserve">(6), 699–711. </w:t>
      </w:r>
      <w:hyperlink r:id="rId9" w:history="1">
        <w:r>
          <w:rPr>
            <w:rStyle w:val="Hyperlink"/>
          </w:rPr>
          <w:t>https://doi.org/10.1177/00178969211011522</w:t>
        </w:r>
      </w:hyperlink>
    </w:p>
    <w:p w14:paraId="7AF71F83" w14:textId="77777777" w:rsidR="004F0961" w:rsidRDefault="001F6395">
      <w:pPr>
        <w:spacing w:after="120"/>
        <w:ind w:left="720" w:hanging="720"/>
      </w:pPr>
      <w:r>
        <w:t xml:space="preserve">Sancar, R., Atal, D., &amp; Deryakulu, D. (2021). A new framework for teachers’ professional development. </w:t>
      </w:r>
      <w:r>
        <w:rPr>
          <w:i/>
          <w:iCs/>
        </w:rPr>
        <w:t>Teaching and Teacher Education, 101</w:t>
      </w:r>
      <w:r>
        <w:t xml:space="preserve">, Article 103305. </w:t>
      </w:r>
      <w:hyperlink r:id="rId10" w:history="1">
        <w:r>
          <w:rPr>
            <w:rStyle w:val="Hyperlink"/>
          </w:rPr>
          <w:t>https://doi.org/10.1016/j.tate.2021.103305</w:t>
        </w:r>
      </w:hyperlink>
    </w:p>
    <w:p w14:paraId="7580CEFC" w14:textId="77777777" w:rsidR="004F0961" w:rsidRDefault="001F6395">
      <w:pPr>
        <w:spacing w:after="120"/>
        <w:ind w:left="720" w:hanging="720"/>
      </w:pPr>
      <w:r>
        <w:t xml:space="preserve">Spence, J. R., Letot, C., Foster, D., Redwine, T., McCubbins, O., &amp; Miller-Foster, M. (2023). Global guides: Defining teachers’ viewpoints about global food insecurity using Q methods. </w:t>
      </w:r>
      <w:r>
        <w:rPr>
          <w:i/>
          <w:iCs/>
        </w:rPr>
        <w:t>Journal of Agricultural Education, 64</w:t>
      </w:r>
      <w:r>
        <w:t xml:space="preserve">(4), 127–143. </w:t>
      </w:r>
      <w:hyperlink r:id="rId11" w:history="1">
        <w:r>
          <w:rPr>
            <w:rStyle w:val="Hyperlink"/>
          </w:rPr>
          <w:t>https://doi.org/10.5032/jae.v64i4.151</w:t>
        </w:r>
      </w:hyperlink>
    </w:p>
    <w:p w14:paraId="6991970D" w14:textId="77777777" w:rsidR="004F0961" w:rsidRDefault="001F6395">
      <w:pPr>
        <w:spacing w:after="120"/>
        <w:ind w:left="720" w:hanging="720"/>
      </w:pPr>
      <w:r>
        <w:t xml:space="preserve">Vangrieken, K., Dochy, F., Raes, E., &amp; Kyndt, E. (2015). Teacher collaboration: A systematic review. </w:t>
      </w:r>
      <w:r>
        <w:rPr>
          <w:i/>
          <w:iCs/>
        </w:rPr>
        <w:t>Educational Research Review, 15</w:t>
      </w:r>
      <w:r>
        <w:t xml:space="preserve">, 17–40. </w:t>
      </w:r>
      <w:hyperlink r:id="rId12" w:history="1">
        <w:r>
          <w:rPr>
            <w:rStyle w:val="Hyperlink"/>
          </w:rPr>
          <w:t>https://doi.org/10.1016/j.edurev.2015.04.002</w:t>
        </w:r>
      </w:hyperlink>
    </w:p>
    <w:sectPr w:rsidR="004F0961">
      <w:headerReference w:type="default" r:id="rId13"/>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B4CF9" w14:textId="77777777" w:rsidR="00817830" w:rsidRDefault="00817830">
      <w:r>
        <w:separator/>
      </w:r>
    </w:p>
  </w:endnote>
  <w:endnote w:type="continuationSeparator" w:id="0">
    <w:p w14:paraId="42AC2952" w14:textId="77777777" w:rsidR="00817830" w:rsidRDefault="00817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89781E" w14:textId="77777777" w:rsidR="00817830" w:rsidRDefault="00817830">
      <w:r>
        <w:separator/>
      </w:r>
    </w:p>
  </w:footnote>
  <w:footnote w:type="continuationSeparator" w:id="0">
    <w:p w14:paraId="45A99269" w14:textId="77777777" w:rsidR="00817830" w:rsidRDefault="008178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FE2D8" w14:textId="77777777" w:rsidR="004F0961" w:rsidRDefault="001F6395">
    <w:pPr>
      <w:jc w:val="right"/>
    </w:pPr>
    <w:r>
      <w:t>Teacher Education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AF0FFD"/>
    <w:multiLevelType w:val="hybridMultilevel"/>
    <w:tmpl w:val="1CF09136"/>
    <w:lvl w:ilvl="0" w:tplc="37B2F60E">
      <w:start w:val="1"/>
      <w:numFmt w:val="bullet"/>
      <w:lvlText w:val="●"/>
      <w:lvlJc w:val="left"/>
      <w:pPr>
        <w:ind w:left="720" w:hanging="360"/>
      </w:pPr>
    </w:lvl>
    <w:lvl w:ilvl="1" w:tplc="FD94A7C4">
      <w:start w:val="1"/>
      <w:numFmt w:val="bullet"/>
      <w:lvlText w:val="○"/>
      <w:lvlJc w:val="left"/>
      <w:pPr>
        <w:ind w:left="1440" w:hanging="360"/>
      </w:pPr>
    </w:lvl>
    <w:lvl w:ilvl="2" w:tplc="9C7E3D60">
      <w:start w:val="1"/>
      <w:numFmt w:val="bullet"/>
      <w:lvlText w:val="■"/>
      <w:lvlJc w:val="left"/>
      <w:pPr>
        <w:ind w:left="2160" w:hanging="360"/>
      </w:pPr>
    </w:lvl>
    <w:lvl w:ilvl="3" w:tplc="F2AE7D30">
      <w:start w:val="1"/>
      <w:numFmt w:val="bullet"/>
      <w:lvlText w:val="●"/>
      <w:lvlJc w:val="left"/>
      <w:pPr>
        <w:ind w:left="2880" w:hanging="360"/>
      </w:pPr>
    </w:lvl>
    <w:lvl w:ilvl="4" w:tplc="37CE6866">
      <w:start w:val="1"/>
      <w:numFmt w:val="bullet"/>
      <w:lvlText w:val="○"/>
      <w:lvlJc w:val="left"/>
      <w:pPr>
        <w:ind w:left="3600" w:hanging="360"/>
      </w:pPr>
    </w:lvl>
    <w:lvl w:ilvl="5" w:tplc="6720BF16">
      <w:start w:val="1"/>
      <w:numFmt w:val="bullet"/>
      <w:lvlText w:val="■"/>
      <w:lvlJc w:val="left"/>
      <w:pPr>
        <w:ind w:left="4320" w:hanging="360"/>
      </w:pPr>
    </w:lvl>
    <w:lvl w:ilvl="6" w:tplc="6A5EF838">
      <w:start w:val="1"/>
      <w:numFmt w:val="bullet"/>
      <w:lvlText w:val="●"/>
      <w:lvlJc w:val="left"/>
      <w:pPr>
        <w:ind w:left="5040" w:hanging="360"/>
      </w:pPr>
    </w:lvl>
    <w:lvl w:ilvl="7" w:tplc="1EF8595A">
      <w:start w:val="1"/>
      <w:numFmt w:val="bullet"/>
      <w:lvlText w:val="●"/>
      <w:lvlJc w:val="left"/>
      <w:pPr>
        <w:ind w:left="5760" w:hanging="360"/>
      </w:pPr>
    </w:lvl>
    <w:lvl w:ilvl="8" w:tplc="3838495E">
      <w:start w:val="1"/>
      <w:numFmt w:val="bullet"/>
      <w:lvlText w:val="●"/>
      <w:lvlJc w:val="left"/>
      <w:pPr>
        <w:ind w:left="6480" w:hanging="360"/>
      </w:pPr>
    </w:lvl>
  </w:abstractNum>
  <w:num w:numId="1" w16cid:durableId="154121030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961"/>
    <w:rsid w:val="001F6395"/>
    <w:rsid w:val="002C5E8E"/>
    <w:rsid w:val="00387F25"/>
    <w:rsid w:val="003F32A8"/>
    <w:rsid w:val="004F0961"/>
    <w:rsid w:val="005D59DC"/>
    <w:rsid w:val="006A3543"/>
    <w:rsid w:val="00817830"/>
    <w:rsid w:val="00BC0941"/>
    <w:rsid w:val="00CA4D04"/>
    <w:rsid w:val="00D768FA"/>
    <w:rsid w:val="00E922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FE1AF"/>
  <w15:docId w15:val="{9A8B0C54-34CE-49DD-9BD3-989264401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5032/jae.2014.01051"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i.org/10.5032/jae.2015.04047" TargetMode="External"/><Relationship Id="rId12" Type="http://schemas.openxmlformats.org/officeDocument/2006/relationships/hyperlink" Target="https://doi.org/10.1016/j.edurev.2015.04.00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5032/jae.v64i4.151"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016/j.tate.2021.103305" TargetMode="External"/><Relationship Id="rId4" Type="http://schemas.openxmlformats.org/officeDocument/2006/relationships/webSettings" Target="webSettings.xml"/><Relationship Id="rId9" Type="http://schemas.openxmlformats.org/officeDocument/2006/relationships/hyperlink" Target="https://doi.org/10.1177/0017896921101152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1448</Words>
  <Characters>8256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Foster, Daniel</cp:lastModifiedBy>
  <cp:revision>6</cp:revision>
  <dcterms:created xsi:type="dcterms:W3CDTF">2026-06-27T23:09:00Z</dcterms:created>
  <dcterms:modified xsi:type="dcterms:W3CDTF">2026-09-25T16:37:00Z</dcterms:modified>
</cp:coreProperties>
</file>