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B40" w:rsidRPr="009B3D69" w:rsidRDefault="00240B40" w:rsidP="00DD2BAF">
      <w:pPr>
        <w:jc w:val="right"/>
      </w:pPr>
      <w:r w:rsidRPr="009B3D69">
        <w:t>Research</w:t>
      </w:r>
    </w:p>
    <w:p w:rsidR="009B3D69" w:rsidRPr="009B3D69" w:rsidRDefault="009B3D69" w:rsidP="00DD2BAF">
      <w:pPr>
        <w:jc w:val="right"/>
      </w:pPr>
    </w:p>
    <w:p w:rsidR="009B3D69" w:rsidRPr="009B3D69" w:rsidRDefault="009B3D69" w:rsidP="00DD2BAF">
      <w:pPr>
        <w:jc w:val="right"/>
      </w:pPr>
    </w:p>
    <w:p w:rsidR="009B3D69" w:rsidRDefault="009B3D69" w:rsidP="00DD2BAF">
      <w:pPr>
        <w:jc w:val="center"/>
      </w:pPr>
      <w:r w:rsidRPr="009B3D69">
        <w:t>Impact of Laboratory Component on Student Course Outcomes</w:t>
      </w:r>
    </w:p>
    <w:p w:rsidR="00442C20" w:rsidRDefault="00442C20" w:rsidP="00DD2BAF">
      <w:pPr>
        <w:jc w:val="center"/>
      </w:pPr>
    </w:p>
    <w:p w:rsidR="009B3D69" w:rsidRDefault="009B3D69" w:rsidP="00DD2BAF">
      <w:pPr>
        <w:jc w:val="center"/>
      </w:pPr>
      <w:r>
        <w:t xml:space="preserve">Bess </w:t>
      </w:r>
      <w:proofErr w:type="spellStart"/>
      <w:r>
        <w:t>Hammill</w:t>
      </w:r>
      <w:proofErr w:type="spellEnd"/>
    </w:p>
    <w:p w:rsidR="009B3D69" w:rsidRDefault="009B3D69" w:rsidP="00DD2BAF">
      <w:pPr>
        <w:jc w:val="center"/>
      </w:pPr>
      <w:r>
        <w:t>Graduate Student</w:t>
      </w:r>
    </w:p>
    <w:p w:rsidR="009B3D69" w:rsidRDefault="009B3D69" w:rsidP="00DD2BAF">
      <w:pPr>
        <w:jc w:val="center"/>
      </w:pPr>
      <w:r>
        <w:t>West Virginia University</w:t>
      </w:r>
    </w:p>
    <w:p w:rsidR="009B3D69" w:rsidRDefault="009B3D69" w:rsidP="00DD2BAF">
      <w:pPr>
        <w:jc w:val="center"/>
      </w:pPr>
      <w:r>
        <w:t>P.O. Box 6108</w:t>
      </w:r>
    </w:p>
    <w:p w:rsidR="000D5E50" w:rsidRDefault="009B3D69" w:rsidP="000D5E50">
      <w:pPr>
        <w:jc w:val="center"/>
      </w:pPr>
      <w:r>
        <w:t>Morgantown, WV 26506</w:t>
      </w:r>
    </w:p>
    <w:p w:rsidR="00442C20" w:rsidRDefault="000D5E50" w:rsidP="000D5E50">
      <w:pPr>
        <w:jc w:val="center"/>
      </w:pPr>
      <w:r>
        <w:t>bhammill@mix.wvu.edu</w:t>
      </w:r>
    </w:p>
    <w:p w:rsidR="009B3D69" w:rsidRDefault="009B3D69" w:rsidP="00DD2BAF">
      <w:pPr>
        <w:jc w:val="center"/>
      </w:pPr>
    </w:p>
    <w:p w:rsidR="009B3D69" w:rsidRPr="009B3D69" w:rsidRDefault="009B3D69" w:rsidP="00DD2BAF">
      <w:pPr>
        <w:jc w:val="center"/>
      </w:pPr>
      <w:r w:rsidRPr="009B3D69">
        <w:t>Deborah A. Boone</w:t>
      </w:r>
    </w:p>
    <w:p w:rsidR="009B3D69" w:rsidRPr="009B3D69" w:rsidRDefault="009B3D69" w:rsidP="00DD2BAF">
      <w:pPr>
        <w:jc w:val="center"/>
      </w:pPr>
      <w:r w:rsidRPr="009B3D69">
        <w:t>Associate Professor</w:t>
      </w:r>
    </w:p>
    <w:p w:rsidR="009B3D69" w:rsidRPr="009B3D69" w:rsidRDefault="009B3D69" w:rsidP="00DD2BAF">
      <w:pPr>
        <w:jc w:val="center"/>
      </w:pPr>
      <w:r w:rsidRPr="009B3D69">
        <w:t>West Virginia University</w:t>
      </w:r>
    </w:p>
    <w:p w:rsidR="009B3D69" w:rsidRPr="009B3D69" w:rsidRDefault="009B3D69" w:rsidP="00DD2BAF">
      <w:pPr>
        <w:jc w:val="center"/>
      </w:pPr>
      <w:r w:rsidRPr="009B3D69">
        <w:t>2052 Agricultural Science Building</w:t>
      </w:r>
    </w:p>
    <w:p w:rsidR="009B3D69" w:rsidRPr="009B3D69" w:rsidRDefault="009B3D69" w:rsidP="00DD2BAF">
      <w:pPr>
        <w:jc w:val="center"/>
      </w:pPr>
      <w:r w:rsidRPr="009B3D69">
        <w:t>Morgantown, WV 26506-6108</w:t>
      </w:r>
    </w:p>
    <w:p w:rsidR="009B3D69" w:rsidRPr="009B3D69" w:rsidRDefault="009B3D69" w:rsidP="00DD2BAF">
      <w:pPr>
        <w:jc w:val="center"/>
      </w:pPr>
      <w:r w:rsidRPr="009B3D69">
        <w:t>304-293- 5450</w:t>
      </w:r>
    </w:p>
    <w:p w:rsidR="009B3D69" w:rsidRDefault="009B3D69" w:rsidP="00DD2BAF">
      <w:pPr>
        <w:jc w:val="center"/>
      </w:pPr>
      <w:r w:rsidRPr="009B3D69">
        <w:t>debby.boone@mail.wvu.edu</w:t>
      </w:r>
    </w:p>
    <w:p w:rsidR="009B3D69" w:rsidRDefault="009B3D69" w:rsidP="00DD2BAF">
      <w:pPr>
        <w:jc w:val="center"/>
      </w:pPr>
    </w:p>
    <w:p w:rsidR="009B3D69" w:rsidRPr="009B3D69" w:rsidRDefault="009B3D69" w:rsidP="00DD2BAF">
      <w:pPr>
        <w:jc w:val="center"/>
      </w:pPr>
      <w:r w:rsidRPr="009B3D69">
        <w:t>Harry N. Boone, Jr.</w:t>
      </w:r>
    </w:p>
    <w:p w:rsidR="009B3D69" w:rsidRPr="009B3D69" w:rsidRDefault="009B3D69" w:rsidP="00DD2BAF">
      <w:pPr>
        <w:jc w:val="center"/>
      </w:pPr>
      <w:r w:rsidRPr="009B3D69">
        <w:t>Associate Professor</w:t>
      </w:r>
    </w:p>
    <w:p w:rsidR="009B3D69" w:rsidRPr="009B3D69" w:rsidRDefault="009B3D69" w:rsidP="00DD2BAF">
      <w:pPr>
        <w:jc w:val="center"/>
      </w:pPr>
      <w:r w:rsidRPr="009B3D69">
        <w:t>West Virginia University</w:t>
      </w:r>
    </w:p>
    <w:p w:rsidR="009B3D69" w:rsidRPr="009B3D69" w:rsidRDefault="009B3D69" w:rsidP="00DD2BAF">
      <w:pPr>
        <w:jc w:val="center"/>
      </w:pPr>
      <w:r w:rsidRPr="009B3D69">
        <w:t>2054 Agricultural Science Building</w:t>
      </w:r>
    </w:p>
    <w:p w:rsidR="009B3D69" w:rsidRPr="009B3D69" w:rsidRDefault="009B3D69" w:rsidP="00DD2BAF">
      <w:pPr>
        <w:jc w:val="center"/>
      </w:pPr>
      <w:r w:rsidRPr="009B3D69">
        <w:t>Morgantown, WV 26506-6108</w:t>
      </w:r>
    </w:p>
    <w:p w:rsidR="009B3D69" w:rsidRPr="009B3D69" w:rsidRDefault="009B3D69" w:rsidP="00DD2BAF">
      <w:pPr>
        <w:jc w:val="center"/>
      </w:pPr>
      <w:r w:rsidRPr="009B3D69">
        <w:t>304-293-5451</w:t>
      </w:r>
    </w:p>
    <w:p w:rsidR="009B3D69" w:rsidRPr="009B3D69" w:rsidRDefault="009B3D69" w:rsidP="00DD2BAF">
      <w:pPr>
        <w:jc w:val="center"/>
      </w:pPr>
      <w:r w:rsidRPr="009B3D69">
        <w:t>harry.boone@mail.wvu.edu</w:t>
      </w:r>
    </w:p>
    <w:p w:rsidR="009B3D69" w:rsidRPr="009B3D69" w:rsidRDefault="009B3D69" w:rsidP="00DD2BAF">
      <w:pPr>
        <w:jc w:val="center"/>
      </w:pPr>
    </w:p>
    <w:p w:rsidR="009B3D69" w:rsidRDefault="009B3D69" w:rsidP="00DD2BAF">
      <w:pPr>
        <w:jc w:val="center"/>
      </w:pPr>
      <w:r>
        <w:t>Margaret A. Minch, DVM</w:t>
      </w:r>
    </w:p>
    <w:p w:rsidR="00D072C0" w:rsidRDefault="00D072C0" w:rsidP="00DD2BAF">
      <w:pPr>
        <w:jc w:val="center"/>
      </w:pPr>
      <w:r>
        <w:t>Clinical Assistant Professor</w:t>
      </w:r>
    </w:p>
    <w:p w:rsidR="00D072C0" w:rsidRPr="009B3D69" w:rsidRDefault="00D072C0" w:rsidP="00DD2BAF">
      <w:pPr>
        <w:jc w:val="center"/>
      </w:pPr>
      <w:r w:rsidRPr="009B3D69">
        <w:t>West Virginia University</w:t>
      </w:r>
    </w:p>
    <w:p w:rsidR="00D072C0" w:rsidRPr="009B3D69" w:rsidRDefault="00D072C0" w:rsidP="00DD2BAF">
      <w:pPr>
        <w:jc w:val="center"/>
      </w:pPr>
      <w:r>
        <w:t>P.O. Box 6108</w:t>
      </w:r>
    </w:p>
    <w:p w:rsidR="00D072C0" w:rsidRPr="009B3D69" w:rsidRDefault="00D072C0" w:rsidP="00DD2BAF">
      <w:pPr>
        <w:jc w:val="center"/>
      </w:pPr>
      <w:r w:rsidRPr="009B3D69">
        <w:t>Morgantown, WV 26506-6108</w:t>
      </w:r>
    </w:p>
    <w:p w:rsidR="00D072C0" w:rsidRDefault="00D072C0" w:rsidP="00DD2BAF">
      <w:pPr>
        <w:jc w:val="center"/>
      </w:pPr>
      <w:r w:rsidRPr="009B3D69">
        <w:t>304-293-</w:t>
      </w:r>
      <w:r>
        <w:t>1909</w:t>
      </w:r>
    </w:p>
    <w:p w:rsidR="00D072C0" w:rsidRPr="009B3D69" w:rsidRDefault="00D072C0" w:rsidP="00DD2BAF">
      <w:pPr>
        <w:jc w:val="center"/>
      </w:pPr>
      <w:r>
        <w:t>Margaret.minch@mail.wvu.edu</w:t>
      </w:r>
    </w:p>
    <w:p w:rsidR="00D072C0" w:rsidRDefault="00D072C0" w:rsidP="00DD2BAF">
      <w:pPr>
        <w:jc w:val="center"/>
      </w:pPr>
    </w:p>
    <w:p w:rsidR="00D072C0" w:rsidRPr="009B3D69" w:rsidRDefault="00D072C0" w:rsidP="00DD2BAF">
      <w:pPr>
        <w:jc w:val="center"/>
      </w:pPr>
    </w:p>
    <w:p w:rsidR="003F0B9D" w:rsidRDefault="003F0B9D" w:rsidP="00DD2BAF">
      <w:pPr>
        <w:jc w:val="center"/>
        <w:sectPr w:rsidR="003F0B9D" w:rsidSect="0060027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2160" w:header="720" w:footer="720" w:gutter="0"/>
          <w:cols w:space="720"/>
          <w:docGrid w:linePitch="360"/>
        </w:sectPr>
      </w:pPr>
    </w:p>
    <w:p w:rsidR="00B06867" w:rsidRDefault="00E2627C" w:rsidP="00442C20">
      <w:pPr>
        <w:jc w:val="center"/>
      </w:pPr>
      <w:r w:rsidRPr="00E2627C">
        <w:lastRenderedPageBreak/>
        <w:t>Impact of Laboratory Component on Student Course Outcomes</w:t>
      </w:r>
    </w:p>
    <w:p w:rsidR="00DD2BAF" w:rsidRPr="009B3D69" w:rsidRDefault="00DD2BAF" w:rsidP="00442C20"/>
    <w:p w:rsidR="001B47F7" w:rsidRPr="00E2627C" w:rsidRDefault="00E2627C" w:rsidP="00442C20">
      <w:pPr>
        <w:rPr>
          <w:b/>
        </w:rPr>
      </w:pPr>
      <w:r w:rsidRPr="00E2627C">
        <w:rPr>
          <w:b/>
        </w:rPr>
        <w:t>Introduction/Need for R</w:t>
      </w:r>
      <w:r w:rsidR="001B47F7" w:rsidRPr="00E2627C">
        <w:rPr>
          <w:b/>
        </w:rPr>
        <w:t>esearch</w:t>
      </w:r>
    </w:p>
    <w:p w:rsidR="001B47F7" w:rsidRDefault="001B47F7" w:rsidP="00442C20">
      <w:pPr>
        <w:ind w:firstLine="720"/>
      </w:pPr>
      <w:r w:rsidRPr="009B3D69">
        <w:t>Thousands of students attend anatomy lectures all over the country. Many human anatomy courses require a cadaver laboratory, so the question arises, what is the potential impact of an animal anatomy lab</w:t>
      </w:r>
      <w:r w:rsidR="00E2627C">
        <w:t>oratory</w:t>
      </w:r>
      <w:r w:rsidRPr="009B3D69">
        <w:t>? Researchers have described the value of problem-based learning in the application of clinical knowledge, specifically recognizing increased knowledge retention. Problem-based learning is a teaching method used to engage students and requires them to apply knowledge, compared with rote memorization (Beers &amp; Bowden, 2005). What is the impact of the addition of a ‘hands on’ laboratory in conjunction with a traditional lecture in animal anatomy on student learning?</w:t>
      </w:r>
    </w:p>
    <w:p w:rsidR="00DD2BAF" w:rsidRPr="009B3D69" w:rsidRDefault="00DD2BAF" w:rsidP="00442C20">
      <w:pPr>
        <w:ind w:firstLine="720"/>
      </w:pPr>
    </w:p>
    <w:p w:rsidR="00E2627C" w:rsidRPr="00A2645C" w:rsidRDefault="00E2627C" w:rsidP="00442C20">
      <w:r w:rsidRPr="00A2645C">
        <w:rPr>
          <w:b/>
        </w:rPr>
        <w:t xml:space="preserve">Conceptual Framework </w:t>
      </w:r>
      <w:r w:rsidRPr="00A2645C">
        <w:t xml:space="preserve">   </w:t>
      </w:r>
    </w:p>
    <w:p w:rsidR="00DD2BAF" w:rsidRDefault="00E2627C" w:rsidP="00442C20">
      <w:pPr>
        <w:pStyle w:val="ListParagraph"/>
        <w:ind w:left="0" w:firstLine="720"/>
      </w:pPr>
      <w:r w:rsidRPr="009B3D69">
        <w:t xml:space="preserve">Often testing and other specific assignments are used to assess student academic success; however the type of learning environment can play a role in a student’s academic success as well.  </w:t>
      </w:r>
      <w:r w:rsidR="00A2645C">
        <w:t>Studies</w:t>
      </w:r>
      <w:r w:rsidRPr="009B3D69">
        <w:t xml:space="preserve"> conducted at a young age have shown that for science based courses, students tend to do better with lecture material when it’s combined with a laboratory (</w:t>
      </w:r>
      <w:proofErr w:type="spellStart"/>
      <w:r w:rsidRPr="009B3D69">
        <w:t>Odubunmi</w:t>
      </w:r>
      <w:proofErr w:type="spellEnd"/>
      <w:r w:rsidRPr="009B3D69">
        <w:t>, 1991).</w:t>
      </w:r>
      <w:r w:rsidR="005B2ABC" w:rsidRPr="005B2ABC">
        <w:t xml:space="preserve"> </w:t>
      </w:r>
      <w:r w:rsidR="005B2ABC">
        <w:t xml:space="preserve"> </w:t>
      </w:r>
      <w:r w:rsidR="00EF7400">
        <w:t>Laboratories e</w:t>
      </w:r>
      <w:r w:rsidR="00EF7400" w:rsidRPr="005B2ABC">
        <w:t xml:space="preserve">ncourage </w:t>
      </w:r>
      <w:r w:rsidR="005B2ABC" w:rsidRPr="005B2ABC">
        <w:t xml:space="preserve">learners to explore their subject more in depth than just a traditional lecture atmosphere (Johnston &amp; McAllister, 2008). </w:t>
      </w:r>
      <w:r w:rsidR="005B2ABC" w:rsidRPr="009B3D69">
        <w:t xml:space="preserve">In 2008, Johnston and McAllister, found that </w:t>
      </w:r>
      <w:r w:rsidR="00A2645C">
        <w:t>with d</w:t>
      </w:r>
      <w:r w:rsidR="00A2645C" w:rsidRPr="005B2ABC">
        <w:t xml:space="preserve">iscovery-based and problem-based approach </w:t>
      </w:r>
      <w:r w:rsidR="005B2ABC" w:rsidRPr="009B3D69">
        <w:t xml:space="preserve">knowledge retention was significant due to the fact that students were engaged in problem-based active learning instead of passively </w:t>
      </w:r>
      <w:proofErr w:type="gramStart"/>
      <w:r w:rsidR="005B2ABC" w:rsidRPr="009B3D69">
        <w:t>learning</w:t>
      </w:r>
      <w:proofErr w:type="gramEnd"/>
      <w:r w:rsidR="005B2ABC" w:rsidRPr="009B3D69">
        <w:t xml:space="preserve"> (Johnston &amp; McAllister, 2008).</w:t>
      </w:r>
      <w:r w:rsidR="00EF7400">
        <w:t xml:space="preserve"> </w:t>
      </w:r>
      <w:r w:rsidR="001B47F7" w:rsidRPr="009B3D69">
        <w:t>In 2005, Beers &amp; Bowden tested the concept of knowledge retention resulting from a laboratory paired with a lecture versus a lecture without a laboratory.  The study presented “problem-based learning” (PBL) as the foundation of the laboratory. No significant difference was found when comparing the final scores from laboratory versus non-laboratory lectures. The researcher tested the students again one year later, and found knowledge retention was higher for those who participated in the laboratory in contrast to those without the laboratory. Researchers have examined whether or not student’s academic success or achievement is predetermined. Many colleges look at standardized testing as one of the factors that determines scholastic achievement American College Testing (ACT). ACT is shown t</w:t>
      </w:r>
      <w:r w:rsidR="00DD2BAF">
        <w:t xml:space="preserve">o have significant correlations </w:t>
      </w:r>
      <w:r w:rsidR="001B47F7" w:rsidRPr="009B3D69">
        <w:t xml:space="preserve">with standard IQ tests, which can correspond with academic success later on in a college setting (Koenig, Frey, &amp; </w:t>
      </w:r>
      <w:proofErr w:type="spellStart"/>
      <w:r w:rsidR="001B47F7" w:rsidRPr="009B3D69">
        <w:t>Detterman</w:t>
      </w:r>
      <w:proofErr w:type="spellEnd"/>
      <w:r w:rsidR="001B47F7" w:rsidRPr="009B3D69">
        <w:t xml:space="preserve">, 2008). </w:t>
      </w:r>
      <w:r w:rsidR="00DD2BAF">
        <w:t xml:space="preserve"> </w:t>
      </w:r>
    </w:p>
    <w:p w:rsidR="00DD2BAF" w:rsidRDefault="00DD2BAF" w:rsidP="00442C20">
      <w:pPr>
        <w:pStyle w:val="ListParagraph"/>
        <w:ind w:left="0" w:firstLine="720"/>
      </w:pPr>
    </w:p>
    <w:p w:rsidR="001B47F7" w:rsidRPr="002A5773" w:rsidRDefault="001B47F7" w:rsidP="00442C20">
      <w:pPr>
        <w:rPr>
          <w:b/>
        </w:rPr>
      </w:pPr>
      <w:r w:rsidRPr="002A5773">
        <w:rPr>
          <w:b/>
        </w:rPr>
        <w:t>Methodology</w:t>
      </w:r>
    </w:p>
    <w:p w:rsidR="001B47F7" w:rsidRDefault="002A5773" w:rsidP="00442C20">
      <w:pPr>
        <w:ind w:firstLine="720"/>
      </w:pPr>
      <w:r>
        <w:t xml:space="preserve">The study was a </w:t>
      </w:r>
      <w:r w:rsidR="00F7064D">
        <w:t xml:space="preserve">quasi-experimental </w:t>
      </w:r>
      <w:r>
        <w:t xml:space="preserve">study of </w:t>
      </w:r>
      <w:r w:rsidR="001B47F7" w:rsidRPr="009B3D69">
        <w:t xml:space="preserve">students enrolled in the animal anatomy course in the Department of Animal and Nutritional Sciences at </w:t>
      </w:r>
      <w:r w:rsidR="0040219A">
        <w:t>{University}</w:t>
      </w:r>
      <w:r w:rsidR="001B47F7" w:rsidRPr="009B3D69">
        <w:t xml:space="preserve"> during Spring semesters of 2007 and 2009 (N=47). The 2007 animal anatomy course was taught as lecture only with no laboratory (N=23). In 2009 an elective laboratory was offered to all students</w:t>
      </w:r>
      <w:r>
        <w:t xml:space="preserve"> (N=24)</w:t>
      </w:r>
      <w:r w:rsidR="001B47F7" w:rsidRPr="009B3D69">
        <w:t xml:space="preserve"> in addition to the lecture. Students </w:t>
      </w:r>
      <w:r w:rsidRPr="009B3D69">
        <w:t>self-selected</w:t>
      </w:r>
      <w:r w:rsidR="001B47F7" w:rsidRPr="009B3D69">
        <w:t xml:space="preserve"> whether or not they took the laboratory in conjunction with</w:t>
      </w:r>
      <w:r w:rsidR="00EF7400">
        <w:t xml:space="preserve"> the</w:t>
      </w:r>
      <w:r w:rsidR="001B47F7" w:rsidRPr="009B3D69">
        <w:t xml:space="preserve"> lecture. </w:t>
      </w:r>
      <w:r w:rsidR="000B2D54" w:rsidRPr="000B2D54">
        <w:t>Sixteen of the twenty-four (66%) students enrolled in the animal anatomy course in 2009 elected to take the lecture laboratory combination, while eight students (33%) took only the lecture portion of the course.</w:t>
      </w:r>
      <w:r w:rsidR="000B2D54">
        <w:t xml:space="preserve"> </w:t>
      </w:r>
      <w:r w:rsidR="00AA3E67" w:rsidRPr="00AA3E67">
        <w:t xml:space="preserve">Academic achievement in the course was measured using final course grades earned in the anatomy lecture. ACT and/or SAT scores were collected to be used as a covariant in the study. The covariant was required to equalize the students on academic abilities (Koenig, Frey, &amp; </w:t>
      </w:r>
      <w:proofErr w:type="spellStart"/>
      <w:r w:rsidR="00AA3E67" w:rsidRPr="00AA3E67">
        <w:t>Detterman</w:t>
      </w:r>
      <w:proofErr w:type="spellEnd"/>
      <w:r w:rsidR="00AA3E67" w:rsidRPr="00AA3E67">
        <w:t xml:space="preserve">, 2008). </w:t>
      </w:r>
      <w:r w:rsidR="000B2D54" w:rsidRPr="000B2D54">
        <w:t>The</w:t>
      </w:r>
      <w:bookmarkStart w:id="0" w:name="_GoBack"/>
      <w:bookmarkEnd w:id="0"/>
      <w:r w:rsidR="000B2D54" w:rsidRPr="000B2D54">
        <w:t xml:space="preserve"> final grades and ACT </w:t>
      </w:r>
      <w:r w:rsidR="000B2D54" w:rsidRPr="000B2D54">
        <w:lastRenderedPageBreak/>
        <w:t xml:space="preserve">scores where then analyzed to see if the laboratory had more of an effect on their final grade or if the standardized testing was a better estimate of their academic success in lecture.  </w:t>
      </w:r>
    </w:p>
    <w:p w:rsidR="00AA3E67" w:rsidRPr="009B3D69" w:rsidRDefault="00AA3E67" w:rsidP="00442C20">
      <w:pPr>
        <w:ind w:firstLine="720"/>
      </w:pPr>
    </w:p>
    <w:p w:rsidR="00240B40" w:rsidRPr="00AA3E67" w:rsidRDefault="00AA3E67" w:rsidP="00442C20">
      <w:pPr>
        <w:rPr>
          <w:b/>
        </w:rPr>
      </w:pPr>
      <w:r w:rsidRPr="00AA3E67">
        <w:rPr>
          <w:b/>
        </w:rPr>
        <w:t>Results/F</w:t>
      </w:r>
      <w:r w:rsidR="00240B40" w:rsidRPr="00AA3E67">
        <w:rPr>
          <w:b/>
        </w:rPr>
        <w:t>indings</w:t>
      </w:r>
    </w:p>
    <w:p w:rsidR="001B47F7" w:rsidRPr="00DD2BAF" w:rsidRDefault="00F7064D" w:rsidP="00442C20">
      <w:pPr>
        <w:ind w:firstLine="720"/>
        <w:rPr>
          <w:color w:val="000000" w:themeColor="text1"/>
        </w:rPr>
      </w:pPr>
      <w:r>
        <w:t>Twenty-three</w:t>
      </w:r>
      <w:r w:rsidR="001B47F7" w:rsidRPr="009B3D69">
        <w:t xml:space="preserve"> </w:t>
      </w:r>
      <w:r>
        <w:t xml:space="preserve">students were enrolled in the </w:t>
      </w:r>
      <w:r w:rsidR="001B47F7" w:rsidRPr="009B3D69">
        <w:t xml:space="preserve">2007 animal anatomy course </w:t>
      </w:r>
      <w:r>
        <w:t xml:space="preserve">which </w:t>
      </w:r>
      <w:r w:rsidR="001B47F7" w:rsidRPr="009B3D69">
        <w:t>was taught as lecture on</w:t>
      </w:r>
      <w:r>
        <w:t xml:space="preserve">ly with no laboratory offered. </w:t>
      </w:r>
      <w:r w:rsidR="001B47F7" w:rsidRPr="009B3D69">
        <w:t xml:space="preserve">In 2009 an elective laboratory was offered to all students </w:t>
      </w:r>
      <w:r>
        <w:t xml:space="preserve">(N=24) </w:t>
      </w:r>
      <w:r w:rsidR="001B47F7" w:rsidRPr="009B3D69">
        <w:t>in additio</w:t>
      </w:r>
      <w:r>
        <w:t>n to the lecture. Students self-</w:t>
      </w:r>
      <w:r w:rsidR="001B47F7" w:rsidRPr="009B3D69">
        <w:t xml:space="preserve">selected whether or not they took </w:t>
      </w:r>
      <w:r>
        <w:t xml:space="preserve">the </w:t>
      </w:r>
      <w:r w:rsidR="001B47F7" w:rsidRPr="009B3D69">
        <w:t xml:space="preserve">laboratory in conjunction with the lecture. Sixteen of the twenty-four (66%) students enrolled in the animal anatomy course in 2009 elected to take the lecture laboratory combination, while eight students (33%) took only the lecture portion of the course. </w:t>
      </w:r>
      <w:r w:rsidR="001B47F7" w:rsidRPr="009B3D69">
        <w:rPr>
          <w:color w:val="000000" w:themeColor="text1"/>
        </w:rPr>
        <w:t>The ACT scores from the 2007 class with no laboratory had a mean of 23.96, a standard deviation of 3.77. Students in the 2009 class who chose not to participate in the laboratory had a mean ACT score of 24.7</w:t>
      </w:r>
      <w:r w:rsidR="000B2D54">
        <w:rPr>
          <w:color w:val="000000" w:themeColor="text1"/>
        </w:rPr>
        <w:t>5, a standard deviation of 3.92.</w:t>
      </w:r>
      <w:r w:rsidR="001B47F7" w:rsidRPr="009B3D69">
        <w:rPr>
          <w:color w:val="000000" w:themeColor="text1"/>
        </w:rPr>
        <w:t xml:space="preserve"> The 2009 class </w:t>
      </w:r>
      <w:r w:rsidR="000B2D54">
        <w:rPr>
          <w:color w:val="000000" w:themeColor="text1"/>
        </w:rPr>
        <w:t xml:space="preserve">members </w:t>
      </w:r>
      <w:r w:rsidR="001B47F7" w:rsidRPr="009B3D69">
        <w:rPr>
          <w:color w:val="000000" w:themeColor="text1"/>
        </w:rPr>
        <w:t>who participate</w:t>
      </w:r>
      <w:r w:rsidR="000B2D54">
        <w:rPr>
          <w:color w:val="000000" w:themeColor="text1"/>
        </w:rPr>
        <w:t xml:space="preserve">d </w:t>
      </w:r>
      <w:r w:rsidR="001B47F7" w:rsidRPr="009B3D69">
        <w:rPr>
          <w:color w:val="000000" w:themeColor="text1"/>
        </w:rPr>
        <w:t>in the optional laboratory had a mean ACT score of 24.75, wi</w:t>
      </w:r>
      <w:r w:rsidR="000B2D54">
        <w:rPr>
          <w:color w:val="000000" w:themeColor="text1"/>
        </w:rPr>
        <w:t>th a standard deviation of 4.42.</w:t>
      </w:r>
      <w:r w:rsidR="001B47F7" w:rsidRPr="009B3D69">
        <w:rPr>
          <w:color w:val="000000" w:themeColor="text1"/>
        </w:rPr>
        <w:t xml:space="preserve"> The final grades in the anatomy course in 2007 had a mean of 85.74%</w:t>
      </w:r>
      <w:r w:rsidR="00DD2BAF">
        <w:rPr>
          <w:color w:val="000000" w:themeColor="text1"/>
        </w:rPr>
        <w:t>, and a standard deviation of 11.55.</w:t>
      </w:r>
      <w:r w:rsidR="001B47F7" w:rsidRPr="009B3D69">
        <w:rPr>
          <w:color w:val="000000" w:themeColor="text1"/>
        </w:rPr>
        <w:t xml:space="preserve"> The student</w:t>
      </w:r>
      <w:r w:rsidR="00DD2BAF">
        <w:rPr>
          <w:color w:val="000000" w:themeColor="text1"/>
        </w:rPr>
        <w:t>s</w:t>
      </w:r>
      <w:r w:rsidR="001B47F7" w:rsidRPr="009B3D69">
        <w:rPr>
          <w:color w:val="000000" w:themeColor="text1"/>
        </w:rPr>
        <w:t xml:space="preserve"> in 2009 who chose not to participate in the laboratory had a mean score of 84.36%, </w:t>
      </w:r>
      <w:r w:rsidR="00DD2BAF">
        <w:rPr>
          <w:color w:val="000000" w:themeColor="text1"/>
        </w:rPr>
        <w:t xml:space="preserve">and </w:t>
      </w:r>
      <w:r w:rsidR="001B47F7" w:rsidRPr="009B3D69">
        <w:rPr>
          <w:color w:val="000000" w:themeColor="text1"/>
        </w:rPr>
        <w:t xml:space="preserve">a standard deviation of 11.08. The students in 2009 who chose to participate in the laboratory had a mean score of 85.31%, </w:t>
      </w:r>
      <w:r w:rsidR="00DD2BAF">
        <w:rPr>
          <w:color w:val="000000" w:themeColor="text1"/>
        </w:rPr>
        <w:t xml:space="preserve">and </w:t>
      </w:r>
      <w:r w:rsidR="001B47F7" w:rsidRPr="009B3D69">
        <w:rPr>
          <w:color w:val="000000" w:themeColor="text1"/>
        </w:rPr>
        <w:t>a standard deviation of 15.13.</w:t>
      </w:r>
      <w:r w:rsidR="00DD2BAF">
        <w:rPr>
          <w:color w:val="000000" w:themeColor="text1"/>
        </w:rPr>
        <w:t xml:space="preserve"> </w:t>
      </w:r>
      <w:r w:rsidR="00675286" w:rsidRPr="00232A08">
        <w:t>An analysis of covariance was used to compare final grades between those who participated in the laboratory component and those who did not.</w:t>
      </w:r>
      <w:r w:rsidR="00675286">
        <w:t xml:space="preserve"> </w:t>
      </w:r>
      <w:r w:rsidR="001B47F7" w:rsidRPr="009B3D69">
        <w:rPr>
          <w:rFonts w:eastAsia="Times New Roman"/>
          <w:color w:val="000000"/>
        </w:rPr>
        <w:t>The laboratory experience did not have a stati</w:t>
      </w:r>
      <w:r w:rsidR="00B32BDE">
        <w:rPr>
          <w:rFonts w:eastAsia="Times New Roman"/>
          <w:color w:val="000000"/>
        </w:rPr>
        <w:t>sti</w:t>
      </w:r>
      <w:r w:rsidR="001B47F7" w:rsidRPr="009B3D69">
        <w:rPr>
          <w:rFonts w:eastAsia="Times New Roman"/>
          <w:color w:val="000000"/>
        </w:rPr>
        <w:t xml:space="preserve">cally significant effect on the </w:t>
      </w:r>
      <w:r w:rsidR="00B32BDE">
        <w:rPr>
          <w:rFonts w:eastAsia="Times New Roman"/>
          <w:color w:val="000000"/>
        </w:rPr>
        <w:t xml:space="preserve">students final grades, </w:t>
      </w:r>
      <w:r w:rsidR="00B32BDE" w:rsidRPr="009B3D69">
        <w:rPr>
          <w:color w:val="000000"/>
        </w:rPr>
        <w:t>60.6% of variance is explained by the covariant ACT-SAT scores.</w:t>
      </w:r>
      <w:r w:rsidR="00B32BDE">
        <w:rPr>
          <w:rFonts w:eastAsia="Times New Roman"/>
          <w:color w:val="000000"/>
        </w:rPr>
        <w:t xml:space="preserve"> </w:t>
      </w:r>
      <w:r w:rsidR="001B47F7" w:rsidRPr="009B3D69">
        <w:rPr>
          <w:rFonts w:eastAsia="Times New Roman"/>
          <w:color w:val="000000"/>
        </w:rPr>
        <w:t xml:space="preserve">While the </w:t>
      </w:r>
      <w:r w:rsidR="00B32BDE">
        <w:rPr>
          <w:rFonts w:eastAsia="Times New Roman"/>
          <w:color w:val="000000"/>
        </w:rPr>
        <w:t xml:space="preserve">students who participated in the </w:t>
      </w:r>
      <w:r w:rsidR="001B47F7" w:rsidRPr="009B3D69">
        <w:rPr>
          <w:rFonts w:eastAsia="Times New Roman"/>
          <w:color w:val="000000"/>
        </w:rPr>
        <w:t xml:space="preserve">laboratory did </w:t>
      </w:r>
      <w:r w:rsidR="00B32BDE">
        <w:rPr>
          <w:rFonts w:eastAsia="Times New Roman"/>
          <w:color w:val="000000"/>
        </w:rPr>
        <w:t>1%</w:t>
      </w:r>
      <w:r w:rsidR="001B47F7" w:rsidRPr="009B3D69">
        <w:rPr>
          <w:rFonts w:eastAsia="Times New Roman"/>
          <w:color w:val="000000"/>
        </w:rPr>
        <w:t xml:space="preserve"> </w:t>
      </w:r>
      <w:r w:rsidR="00B32BDE" w:rsidRPr="009B3D69">
        <w:rPr>
          <w:rFonts w:eastAsia="Times New Roman"/>
          <w:color w:val="000000"/>
        </w:rPr>
        <w:t>better on their final grades than those who didn’t participate in the laboratory with equivalent ACT scores</w:t>
      </w:r>
      <w:r w:rsidR="00B32BDE">
        <w:rPr>
          <w:rFonts w:eastAsia="Times New Roman"/>
          <w:color w:val="000000"/>
        </w:rPr>
        <w:t>.</w:t>
      </w:r>
      <w:r w:rsidR="00B32BDE" w:rsidRPr="009B3D69">
        <w:rPr>
          <w:rFonts w:eastAsia="Times New Roman"/>
          <w:color w:val="000000"/>
        </w:rPr>
        <w:t xml:space="preserve"> </w:t>
      </w:r>
      <w:r w:rsidR="001B47F7" w:rsidRPr="009B3D69">
        <w:t>The student’s ACT scores reflect on their course grades despite the addition of the laboratory.  The ACT scores were found to be good indicators on how students would do in the course.  The higher the ACT score, the higher the</w:t>
      </w:r>
      <w:r w:rsidR="00A2645C">
        <w:t xml:space="preserve"> final grade was in the course.</w:t>
      </w:r>
    </w:p>
    <w:p w:rsidR="00A2645C" w:rsidRPr="00B32BDE" w:rsidRDefault="00A2645C" w:rsidP="00442C20">
      <w:pPr>
        <w:ind w:firstLine="720"/>
        <w:rPr>
          <w:rFonts w:eastAsia="Times New Roman"/>
          <w:color w:val="000000"/>
        </w:rPr>
      </w:pPr>
    </w:p>
    <w:p w:rsidR="001B47F7" w:rsidRPr="009B3D69" w:rsidRDefault="001B47F7" w:rsidP="00442C20">
      <w:pPr>
        <w:rPr>
          <w:rFonts w:eastAsia="Times New Roman"/>
          <w:b/>
          <w:color w:val="000000"/>
        </w:rPr>
      </w:pPr>
      <w:r w:rsidRPr="009B3D69">
        <w:rPr>
          <w:rFonts w:eastAsia="Times New Roman"/>
          <w:b/>
          <w:color w:val="000000"/>
        </w:rPr>
        <w:t>Conclusions</w:t>
      </w:r>
    </w:p>
    <w:p w:rsidR="001B47F7" w:rsidRPr="009B3D69" w:rsidRDefault="001B47F7" w:rsidP="00442C20">
      <w:pPr>
        <w:ind w:firstLine="720"/>
        <w:rPr>
          <w:rFonts w:eastAsia="Times New Roman"/>
          <w:color w:val="000000"/>
        </w:rPr>
      </w:pPr>
      <w:r w:rsidRPr="009B3D69">
        <w:rPr>
          <w:rFonts w:eastAsia="Times New Roman"/>
          <w:color w:val="000000"/>
        </w:rPr>
        <w:t xml:space="preserve">The study sought to determine whether or not addition </w:t>
      </w:r>
      <w:r w:rsidR="00B32BDE" w:rsidRPr="009B3D69">
        <w:rPr>
          <w:rFonts w:eastAsia="Times New Roman"/>
          <w:color w:val="000000"/>
        </w:rPr>
        <w:t>of a hand</w:t>
      </w:r>
      <w:r w:rsidR="00B32BDE">
        <w:rPr>
          <w:rFonts w:eastAsia="Times New Roman"/>
          <w:color w:val="000000"/>
        </w:rPr>
        <w:t>s</w:t>
      </w:r>
      <w:r w:rsidR="00675286">
        <w:rPr>
          <w:rFonts w:eastAsia="Times New Roman"/>
          <w:color w:val="000000"/>
        </w:rPr>
        <w:t>-</w:t>
      </w:r>
      <w:r w:rsidRPr="009B3D69">
        <w:rPr>
          <w:rFonts w:eastAsia="Times New Roman"/>
          <w:color w:val="000000"/>
        </w:rPr>
        <w:t>on laboratory in combination with lecture would have an effect on the participants</w:t>
      </w:r>
      <w:r w:rsidR="00675286">
        <w:rPr>
          <w:rFonts w:eastAsia="Times New Roman"/>
          <w:color w:val="000000"/>
        </w:rPr>
        <w:t>’</w:t>
      </w:r>
      <w:r w:rsidRPr="009B3D69">
        <w:rPr>
          <w:rFonts w:eastAsia="Times New Roman"/>
          <w:color w:val="000000"/>
        </w:rPr>
        <w:t xml:space="preserve"> final grades in the course. The students were found to have equivalent academic potential based on their ACT scores. While their grades in the course were increased, the laboratory effect on the course grades was shown to have no statistical significance. The study concluded that academic success rests more on ACT/SAT scores than what the laboratory provided. There was a small effect on the grades with the addition of the laboratory but ACT/SAT scores were a better predictor of final course grades </w:t>
      </w:r>
    </w:p>
    <w:p w:rsidR="001B47F7" w:rsidRPr="009B3D69" w:rsidRDefault="001B47F7" w:rsidP="00442C20">
      <w:pPr>
        <w:rPr>
          <w:rFonts w:eastAsia="Times New Roman"/>
          <w:color w:val="000000"/>
        </w:rPr>
      </w:pPr>
      <w:r w:rsidRPr="009B3D69">
        <w:rPr>
          <w:rFonts w:eastAsia="Times New Roman"/>
          <w:color w:val="000000"/>
        </w:rPr>
        <w:tab/>
      </w:r>
    </w:p>
    <w:p w:rsidR="001B47F7" w:rsidRPr="009B3D69" w:rsidRDefault="001B47F7" w:rsidP="00442C20">
      <w:pPr>
        <w:rPr>
          <w:rFonts w:eastAsia="Times New Roman"/>
          <w:b/>
          <w:color w:val="000000"/>
        </w:rPr>
      </w:pPr>
      <w:r w:rsidRPr="009B3D69">
        <w:rPr>
          <w:rFonts w:eastAsia="Times New Roman"/>
          <w:b/>
          <w:color w:val="000000"/>
        </w:rPr>
        <w:t>Recommendations</w:t>
      </w:r>
    </w:p>
    <w:p w:rsidR="001B47F7" w:rsidRDefault="001B47F7" w:rsidP="00442C20">
      <w:pPr>
        <w:ind w:firstLine="360"/>
        <w:contextualSpacing/>
      </w:pPr>
      <w:r w:rsidRPr="009B3D69">
        <w:rPr>
          <w:rFonts w:eastAsia="Times New Roman"/>
          <w:color w:val="000000"/>
        </w:rPr>
        <w:tab/>
      </w:r>
      <w:r w:rsidRPr="009B3D69">
        <w:t xml:space="preserve">Based on the findings of this study the researchers offer the following recommendations would be suggested. The laboratory was found to be a great opportunity for associative learning and it is recommended that the lab be continued as an elective. The recommendation to </w:t>
      </w:r>
      <w:r w:rsidR="00193142">
        <w:t>l</w:t>
      </w:r>
      <w:r w:rsidRPr="009B3D69">
        <w:t>eav</w:t>
      </w:r>
      <w:r w:rsidR="00193142">
        <w:t>e</w:t>
      </w:r>
      <w:r w:rsidRPr="009B3D69">
        <w:t xml:space="preserve"> the lab as optional for anatomy lecture students </w:t>
      </w:r>
      <w:r w:rsidR="00193142">
        <w:t>to</w:t>
      </w:r>
      <w:r w:rsidRPr="009B3D69">
        <w:t xml:space="preserve"> provide them more flexibility in their schedules</w:t>
      </w:r>
      <w:r w:rsidR="00193142">
        <w:t>.</w:t>
      </w:r>
      <w:r w:rsidRPr="009B3D69">
        <w:t xml:space="preserve"> </w:t>
      </w:r>
    </w:p>
    <w:p w:rsidR="00F25C04" w:rsidRPr="009B3D69" w:rsidRDefault="00F25C04" w:rsidP="00442C20">
      <w:pPr>
        <w:ind w:firstLine="360"/>
        <w:contextualSpacing/>
      </w:pPr>
    </w:p>
    <w:p w:rsidR="00600277" w:rsidRDefault="00240B40" w:rsidP="00442C20">
      <w:pPr>
        <w:rPr>
          <w:b/>
        </w:rPr>
      </w:pPr>
      <w:r w:rsidRPr="00A2645C">
        <w:rPr>
          <w:b/>
        </w:rPr>
        <w:t>Implicat</w:t>
      </w:r>
      <w:r w:rsidR="00F25C04" w:rsidRPr="00A2645C">
        <w:rPr>
          <w:b/>
        </w:rPr>
        <w:t>ions/R</w:t>
      </w:r>
      <w:r w:rsidR="00DD2BAF">
        <w:rPr>
          <w:b/>
        </w:rPr>
        <w:t>ecommendations</w:t>
      </w:r>
    </w:p>
    <w:p w:rsidR="0040219A" w:rsidRDefault="00DD2BAF" w:rsidP="00442C20">
      <w:pPr>
        <w:sectPr w:rsidR="0040219A">
          <w:pgSz w:w="12240" w:h="15840"/>
          <w:pgMar w:top="1440" w:right="1440" w:bottom="1440" w:left="1440" w:header="720" w:footer="720" w:gutter="0"/>
          <w:cols w:space="720"/>
          <w:docGrid w:linePitch="360"/>
        </w:sectPr>
      </w:pPr>
      <w:r>
        <w:rPr>
          <w:b/>
        </w:rPr>
        <w:tab/>
      </w:r>
      <w:r w:rsidR="00193142" w:rsidRPr="00193142">
        <w:t xml:space="preserve">Laboratory </w:t>
      </w:r>
      <w:r w:rsidR="00193142">
        <w:t xml:space="preserve">settings need to be designed to provide hands on activities to reinforce lecture materials. Future research needs to be conducted on the long term impact of </w:t>
      </w:r>
      <w:r w:rsidR="0040219A">
        <w:t xml:space="preserve">laboratory courses on </w:t>
      </w:r>
      <w:r w:rsidR="00193142">
        <w:t>knowledge retention.</w:t>
      </w:r>
    </w:p>
    <w:p w:rsidR="00856E31" w:rsidRDefault="0040219A" w:rsidP="00442C20">
      <w:pPr>
        <w:jc w:val="center"/>
        <w:rPr>
          <w:b/>
        </w:rPr>
      </w:pPr>
      <w:r>
        <w:rPr>
          <w:b/>
        </w:rPr>
        <w:lastRenderedPageBreak/>
        <w:t>References</w:t>
      </w:r>
    </w:p>
    <w:p w:rsidR="00442C20" w:rsidRDefault="00442C20" w:rsidP="00442C20">
      <w:pPr>
        <w:jc w:val="center"/>
        <w:rPr>
          <w:noProof/>
        </w:rPr>
      </w:pPr>
    </w:p>
    <w:p w:rsidR="0040219A" w:rsidRDefault="0040219A" w:rsidP="00442C20">
      <w:pPr>
        <w:pStyle w:val="Bibliography"/>
        <w:ind w:left="720" w:hanging="720"/>
        <w:rPr>
          <w:noProof/>
        </w:rPr>
      </w:pPr>
      <w:r w:rsidRPr="002C612D">
        <w:rPr>
          <w:noProof/>
        </w:rPr>
        <w:t xml:space="preserve">Beers, G. W., &amp; Bowden, S. (2005). The effect of teaching method on long-term knowledge retention. </w:t>
      </w:r>
      <w:r w:rsidRPr="002C612D">
        <w:rPr>
          <w:i/>
          <w:iCs/>
          <w:noProof/>
        </w:rPr>
        <w:t>Nursing Education</w:t>
      </w:r>
      <w:r w:rsidRPr="002C612D">
        <w:rPr>
          <w:noProof/>
        </w:rPr>
        <w:t>, 511-515.</w:t>
      </w:r>
    </w:p>
    <w:p w:rsidR="00442C20" w:rsidRPr="00442C20" w:rsidRDefault="00442C20" w:rsidP="00442C20">
      <w:pPr>
        <w:ind w:left="720"/>
      </w:pPr>
    </w:p>
    <w:p w:rsidR="0040219A" w:rsidRDefault="0040219A" w:rsidP="00442C20">
      <w:pPr>
        <w:pStyle w:val="Bibliography"/>
        <w:ind w:left="720" w:hanging="720"/>
        <w:rPr>
          <w:noProof/>
        </w:rPr>
      </w:pPr>
      <w:r w:rsidRPr="002C612D">
        <w:rPr>
          <w:noProof/>
        </w:rPr>
        <w:t>Johnston, A. N., &amp; McAlli</w:t>
      </w:r>
      <w:r>
        <w:rPr>
          <w:noProof/>
        </w:rPr>
        <w:t>ster, M. (2008). Back to the fu</w:t>
      </w:r>
      <w:r w:rsidRPr="002C612D">
        <w:rPr>
          <w:noProof/>
        </w:rPr>
        <w:t xml:space="preserve">ture with hands-on science: students' perceptions of learning anatomy and physiology. </w:t>
      </w:r>
      <w:r w:rsidRPr="002C612D">
        <w:rPr>
          <w:i/>
          <w:iCs/>
          <w:noProof/>
        </w:rPr>
        <w:t>Nursing Education</w:t>
      </w:r>
      <w:r w:rsidRPr="002C612D">
        <w:rPr>
          <w:noProof/>
        </w:rPr>
        <w:t>, 417-421.</w:t>
      </w:r>
    </w:p>
    <w:p w:rsidR="00442C20" w:rsidRPr="00442C20" w:rsidRDefault="00442C20" w:rsidP="00442C20">
      <w:pPr>
        <w:ind w:left="720"/>
      </w:pPr>
    </w:p>
    <w:p w:rsidR="0040219A" w:rsidRDefault="0040219A" w:rsidP="00442C20">
      <w:pPr>
        <w:pStyle w:val="Bibliography"/>
        <w:ind w:left="720" w:hanging="720"/>
        <w:rPr>
          <w:noProof/>
        </w:rPr>
      </w:pPr>
      <w:r w:rsidRPr="002C612D">
        <w:rPr>
          <w:noProof/>
        </w:rPr>
        <w:t xml:space="preserve">Koenig, K., Frey, M., &amp; Detterman, D. (2008). ACT and general cognitive ability. </w:t>
      </w:r>
      <w:r w:rsidRPr="002C612D">
        <w:rPr>
          <w:i/>
          <w:iCs/>
          <w:noProof/>
        </w:rPr>
        <w:t>Intelligence</w:t>
      </w:r>
      <w:r w:rsidRPr="002C612D">
        <w:rPr>
          <w:noProof/>
        </w:rPr>
        <w:t>, 153-160.</w:t>
      </w:r>
    </w:p>
    <w:p w:rsidR="00442C20" w:rsidRPr="00442C20" w:rsidRDefault="00442C20" w:rsidP="00442C20">
      <w:pPr>
        <w:ind w:left="720"/>
      </w:pPr>
    </w:p>
    <w:p w:rsidR="00442C20" w:rsidRDefault="00442C20" w:rsidP="00442C20">
      <w:pPr>
        <w:pStyle w:val="Bibliography"/>
        <w:ind w:left="720" w:hanging="720"/>
        <w:rPr>
          <w:noProof/>
        </w:rPr>
      </w:pPr>
      <w:r w:rsidRPr="002C612D">
        <w:rPr>
          <w:noProof/>
        </w:rPr>
        <w:t xml:space="preserve">Odubunmi, O. (1991). The effect of laboratory and lecture teaching methods on cognitive achievement in integrated science. </w:t>
      </w:r>
      <w:r w:rsidRPr="002C612D">
        <w:rPr>
          <w:i/>
          <w:iCs/>
          <w:noProof/>
        </w:rPr>
        <w:t>Journal of Research in Science Teaching</w:t>
      </w:r>
      <w:r w:rsidRPr="002C612D">
        <w:rPr>
          <w:noProof/>
        </w:rPr>
        <w:t>, 213-224.</w:t>
      </w:r>
    </w:p>
    <w:p w:rsidR="00442C20" w:rsidRPr="00442C20" w:rsidRDefault="00442C20" w:rsidP="00442C20">
      <w:pPr>
        <w:ind w:left="720"/>
      </w:pPr>
    </w:p>
    <w:p w:rsidR="00442C20" w:rsidRPr="00442C20" w:rsidRDefault="00442C20" w:rsidP="00442C20">
      <w:pPr>
        <w:widowControl w:val="0"/>
        <w:tabs>
          <w:tab w:val="right" w:pos="8640"/>
        </w:tabs>
        <w:overflowPunct w:val="0"/>
        <w:autoSpaceDE w:val="0"/>
        <w:autoSpaceDN w:val="0"/>
        <w:adjustRightInd w:val="0"/>
        <w:ind w:left="720" w:hanging="720"/>
        <w:rPr>
          <w:rFonts w:eastAsia="Times New Roman"/>
          <w:color w:val="000000"/>
          <w:kern w:val="28"/>
        </w:rPr>
      </w:pPr>
      <w:proofErr w:type="gramStart"/>
      <w:r w:rsidRPr="00442C20">
        <w:rPr>
          <w:rFonts w:eastAsia="Times New Roman"/>
          <w:color w:val="000000"/>
          <w:kern w:val="28"/>
        </w:rPr>
        <w:t xml:space="preserve">Robinson, J. P., Shaver, P. R., &amp; </w:t>
      </w:r>
      <w:proofErr w:type="spellStart"/>
      <w:r w:rsidRPr="00442C20">
        <w:rPr>
          <w:rFonts w:eastAsia="Times New Roman"/>
          <w:color w:val="000000"/>
          <w:kern w:val="28"/>
        </w:rPr>
        <w:t>Wrightsman</w:t>
      </w:r>
      <w:proofErr w:type="spellEnd"/>
      <w:r w:rsidRPr="00442C20">
        <w:rPr>
          <w:rFonts w:eastAsia="Times New Roman"/>
          <w:color w:val="000000"/>
          <w:kern w:val="28"/>
        </w:rPr>
        <w:t>, L. S. (1991).</w:t>
      </w:r>
      <w:proofErr w:type="gramEnd"/>
      <w:r w:rsidRPr="00442C20">
        <w:rPr>
          <w:rFonts w:eastAsia="Times New Roman"/>
          <w:color w:val="000000"/>
          <w:kern w:val="28"/>
        </w:rPr>
        <w:t xml:space="preserve"> </w:t>
      </w:r>
      <w:proofErr w:type="gramStart"/>
      <w:r w:rsidRPr="00442C20">
        <w:rPr>
          <w:rFonts w:eastAsia="Times New Roman"/>
          <w:color w:val="000000"/>
          <w:kern w:val="28"/>
        </w:rPr>
        <w:t>Criteria for scale selection and evaluation.</w:t>
      </w:r>
      <w:proofErr w:type="gramEnd"/>
      <w:r w:rsidRPr="00442C20">
        <w:rPr>
          <w:rFonts w:eastAsia="Times New Roman"/>
          <w:color w:val="000000"/>
          <w:kern w:val="28"/>
        </w:rPr>
        <w:t xml:space="preserve">  In J. P. Robinson, P. R. Shaver, &amp; L. S. </w:t>
      </w:r>
      <w:proofErr w:type="spellStart"/>
      <w:r w:rsidRPr="00442C20">
        <w:rPr>
          <w:rFonts w:eastAsia="Times New Roman"/>
          <w:color w:val="000000"/>
          <w:kern w:val="28"/>
        </w:rPr>
        <w:t>Wrightsman</w:t>
      </w:r>
      <w:proofErr w:type="spellEnd"/>
      <w:r w:rsidRPr="00442C20">
        <w:rPr>
          <w:rFonts w:eastAsia="Times New Roman"/>
          <w:color w:val="000000"/>
          <w:kern w:val="28"/>
        </w:rPr>
        <w:t xml:space="preserve"> (Eds.) </w:t>
      </w:r>
      <w:r w:rsidRPr="00442C20">
        <w:rPr>
          <w:rFonts w:eastAsia="Times New Roman"/>
          <w:i/>
          <w:color w:val="000000"/>
          <w:kern w:val="28"/>
        </w:rPr>
        <w:t>Measures of personality and social psychological attitudes</w:t>
      </w:r>
      <w:r w:rsidRPr="00442C20">
        <w:rPr>
          <w:rFonts w:eastAsia="Times New Roman"/>
          <w:color w:val="000000"/>
          <w:kern w:val="28"/>
        </w:rPr>
        <w:t xml:space="preserve"> (pp.1-16) New York: Academic Press.</w:t>
      </w:r>
    </w:p>
    <w:p w:rsidR="0040219A" w:rsidRPr="0040219A" w:rsidRDefault="0040219A" w:rsidP="00442C20">
      <w:pPr>
        <w:rPr>
          <w:b/>
        </w:rPr>
      </w:pPr>
    </w:p>
    <w:sectPr w:rsidR="0040219A" w:rsidRPr="0040219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2243" w:rsidRDefault="00442243" w:rsidP="00B62130">
      <w:r>
        <w:separator/>
      </w:r>
    </w:p>
  </w:endnote>
  <w:endnote w:type="continuationSeparator" w:id="0">
    <w:p w:rsidR="00442243" w:rsidRDefault="00442243" w:rsidP="00B62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130" w:rsidRDefault="00B621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130" w:rsidRDefault="00B621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130" w:rsidRDefault="00B621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2243" w:rsidRDefault="00442243" w:rsidP="00B62130">
      <w:r>
        <w:separator/>
      </w:r>
    </w:p>
  </w:footnote>
  <w:footnote w:type="continuationSeparator" w:id="0">
    <w:p w:rsidR="00442243" w:rsidRDefault="00442243" w:rsidP="00B621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130" w:rsidRDefault="00B621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130" w:rsidRDefault="00B621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130" w:rsidRDefault="00B621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D762D8"/>
    <w:multiLevelType w:val="hybridMultilevel"/>
    <w:tmpl w:val="AC5E1D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B40"/>
    <w:rsid w:val="000B2D54"/>
    <w:rsid w:val="000D5E50"/>
    <w:rsid w:val="00187852"/>
    <w:rsid w:val="00193142"/>
    <w:rsid w:val="001B47F7"/>
    <w:rsid w:val="00240B40"/>
    <w:rsid w:val="002A5773"/>
    <w:rsid w:val="00340F8F"/>
    <w:rsid w:val="003B1E79"/>
    <w:rsid w:val="003F0B9D"/>
    <w:rsid w:val="0040219A"/>
    <w:rsid w:val="00442243"/>
    <w:rsid w:val="00442C20"/>
    <w:rsid w:val="005A1FDA"/>
    <w:rsid w:val="005B2ABC"/>
    <w:rsid w:val="00600277"/>
    <w:rsid w:val="00675286"/>
    <w:rsid w:val="00856E31"/>
    <w:rsid w:val="00925248"/>
    <w:rsid w:val="009B3D69"/>
    <w:rsid w:val="00A2645C"/>
    <w:rsid w:val="00AA3E67"/>
    <w:rsid w:val="00AD2E36"/>
    <w:rsid w:val="00B06867"/>
    <w:rsid w:val="00B32BDE"/>
    <w:rsid w:val="00B62130"/>
    <w:rsid w:val="00D072C0"/>
    <w:rsid w:val="00DD2BAF"/>
    <w:rsid w:val="00E2627C"/>
    <w:rsid w:val="00EF7400"/>
    <w:rsid w:val="00F25C04"/>
    <w:rsid w:val="00F70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B47F7"/>
    <w:pPr>
      <w:ind w:left="720"/>
      <w:contextualSpacing/>
    </w:pPr>
  </w:style>
  <w:style w:type="paragraph" w:styleId="NormalWeb">
    <w:name w:val="Normal (Web)"/>
    <w:basedOn w:val="Normal"/>
    <w:unhideWhenUsed/>
    <w:rsid w:val="001B47F7"/>
    <w:pPr>
      <w:spacing w:before="100" w:beforeAutospacing="1" w:after="100" w:afterAutospacing="1"/>
      <w:jc w:val="center"/>
    </w:pPr>
    <w:rPr>
      <w:rFonts w:eastAsia="Times New Roman"/>
    </w:rPr>
  </w:style>
  <w:style w:type="character" w:customStyle="1" w:styleId="yshortcuts">
    <w:name w:val="yshortcuts"/>
    <w:basedOn w:val="DefaultParagraphFont"/>
    <w:rsid w:val="001B47F7"/>
  </w:style>
  <w:style w:type="paragraph" w:styleId="BalloonText">
    <w:name w:val="Balloon Text"/>
    <w:basedOn w:val="Normal"/>
    <w:link w:val="BalloonTextChar"/>
    <w:uiPriority w:val="99"/>
    <w:semiHidden/>
    <w:unhideWhenUsed/>
    <w:rsid w:val="00925248"/>
    <w:rPr>
      <w:rFonts w:ascii="Tahoma" w:hAnsi="Tahoma" w:cs="Tahoma"/>
      <w:sz w:val="16"/>
      <w:szCs w:val="16"/>
    </w:rPr>
  </w:style>
  <w:style w:type="character" w:customStyle="1" w:styleId="BalloonTextChar">
    <w:name w:val="Balloon Text Char"/>
    <w:basedOn w:val="DefaultParagraphFont"/>
    <w:link w:val="BalloonText"/>
    <w:uiPriority w:val="99"/>
    <w:semiHidden/>
    <w:rsid w:val="00925248"/>
    <w:rPr>
      <w:rFonts w:ascii="Tahoma" w:hAnsi="Tahoma" w:cs="Tahoma"/>
      <w:sz w:val="16"/>
      <w:szCs w:val="16"/>
    </w:rPr>
  </w:style>
  <w:style w:type="paragraph" w:styleId="Bibliography">
    <w:name w:val="Bibliography"/>
    <w:basedOn w:val="Normal"/>
    <w:next w:val="Normal"/>
    <w:rsid w:val="0040219A"/>
  </w:style>
  <w:style w:type="paragraph" w:styleId="Header">
    <w:name w:val="header"/>
    <w:basedOn w:val="Normal"/>
    <w:link w:val="HeaderChar"/>
    <w:uiPriority w:val="99"/>
    <w:unhideWhenUsed/>
    <w:rsid w:val="00B62130"/>
    <w:pPr>
      <w:tabs>
        <w:tab w:val="center" w:pos="4680"/>
        <w:tab w:val="right" w:pos="9360"/>
      </w:tabs>
    </w:pPr>
  </w:style>
  <w:style w:type="character" w:customStyle="1" w:styleId="HeaderChar">
    <w:name w:val="Header Char"/>
    <w:basedOn w:val="DefaultParagraphFont"/>
    <w:link w:val="Header"/>
    <w:uiPriority w:val="99"/>
    <w:rsid w:val="00B62130"/>
  </w:style>
  <w:style w:type="paragraph" w:styleId="Footer">
    <w:name w:val="footer"/>
    <w:basedOn w:val="Normal"/>
    <w:link w:val="FooterChar"/>
    <w:uiPriority w:val="99"/>
    <w:unhideWhenUsed/>
    <w:rsid w:val="00B62130"/>
    <w:pPr>
      <w:tabs>
        <w:tab w:val="center" w:pos="4680"/>
        <w:tab w:val="right" w:pos="9360"/>
      </w:tabs>
    </w:pPr>
  </w:style>
  <w:style w:type="character" w:customStyle="1" w:styleId="FooterChar">
    <w:name w:val="Footer Char"/>
    <w:basedOn w:val="DefaultParagraphFont"/>
    <w:link w:val="Footer"/>
    <w:uiPriority w:val="99"/>
    <w:rsid w:val="00B62130"/>
  </w:style>
  <w:style w:type="character" w:styleId="CommentReference">
    <w:name w:val="annotation reference"/>
    <w:basedOn w:val="DefaultParagraphFont"/>
    <w:uiPriority w:val="99"/>
    <w:semiHidden/>
    <w:unhideWhenUsed/>
    <w:rsid w:val="00EF7400"/>
    <w:rPr>
      <w:sz w:val="16"/>
      <w:szCs w:val="16"/>
    </w:rPr>
  </w:style>
  <w:style w:type="paragraph" w:styleId="CommentText">
    <w:name w:val="annotation text"/>
    <w:basedOn w:val="Normal"/>
    <w:link w:val="CommentTextChar"/>
    <w:uiPriority w:val="99"/>
    <w:semiHidden/>
    <w:unhideWhenUsed/>
    <w:rsid w:val="00EF7400"/>
    <w:rPr>
      <w:sz w:val="20"/>
      <w:szCs w:val="20"/>
    </w:rPr>
  </w:style>
  <w:style w:type="character" w:customStyle="1" w:styleId="CommentTextChar">
    <w:name w:val="Comment Text Char"/>
    <w:basedOn w:val="DefaultParagraphFont"/>
    <w:link w:val="CommentText"/>
    <w:uiPriority w:val="99"/>
    <w:semiHidden/>
    <w:rsid w:val="00EF7400"/>
    <w:rPr>
      <w:sz w:val="20"/>
      <w:szCs w:val="20"/>
    </w:rPr>
  </w:style>
  <w:style w:type="paragraph" w:styleId="CommentSubject">
    <w:name w:val="annotation subject"/>
    <w:basedOn w:val="CommentText"/>
    <w:next w:val="CommentText"/>
    <w:link w:val="CommentSubjectChar"/>
    <w:uiPriority w:val="99"/>
    <w:semiHidden/>
    <w:unhideWhenUsed/>
    <w:rsid w:val="00EF7400"/>
    <w:rPr>
      <w:b/>
      <w:bCs/>
    </w:rPr>
  </w:style>
  <w:style w:type="character" w:customStyle="1" w:styleId="CommentSubjectChar">
    <w:name w:val="Comment Subject Char"/>
    <w:basedOn w:val="CommentTextChar"/>
    <w:link w:val="CommentSubject"/>
    <w:uiPriority w:val="99"/>
    <w:semiHidden/>
    <w:rsid w:val="00EF7400"/>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B47F7"/>
    <w:pPr>
      <w:ind w:left="720"/>
      <w:contextualSpacing/>
    </w:pPr>
  </w:style>
  <w:style w:type="paragraph" w:styleId="NormalWeb">
    <w:name w:val="Normal (Web)"/>
    <w:basedOn w:val="Normal"/>
    <w:unhideWhenUsed/>
    <w:rsid w:val="001B47F7"/>
    <w:pPr>
      <w:spacing w:before="100" w:beforeAutospacing="1" w:after="100" w:afterAutospacing="1"/>
      <w:jc w:val="center"/>
    </w:pPr>
    <w:rPr>
      <w:rFonts w:eastAsia="Times New Roman"/>
    </w:rPr>
  </w:style>
  <w:style w:type="character" w:customStyle="1" w:styleId="yshortcuts">
    <w:name w:val="yshortcuts"/>
    <w:basedOn w:val="DefaultParagraphFont"/>
    <w:rsid w:val="001B47F7"/>
  </w:style>
  <w:style w:type="paragraph" w:styleId="BalloonText">
    <w:name w:val="Balloon Text"/>
    <w:basedOn w:val="Normal"/>
    <w:link w:val="BalloonTextChar"/>
    <w:uiPriority w:val="99"/>
    <w:semiHidden/>
    <w:unhideWhenUsed/>
    <w:rsid w:val="00925248"/>
    <w:rPr>
      <w:rFonts w:ascii="Tahoma" w:hAnsi="Tahoma" w:cs="Tahoma"/>
      <w:sz w:val="16"/>
      <w:szCs w:val="16"/>
    </w:rPr>
  </w:style>
  <w:style w:type="character" w:customStyle="1" w:styleId="BalloonTextChar">
    <w:name w:val="Balloon Text Char"/>
    <w:basedOn w:val="DefaultParagraphFont"/>
    <w:link w:val="BalloonText"/>
    <w:uiPriority w:val="99"/>
    <w:semiHidden/>
    <w:rsid w:val="00925248"/>
    <w:rPr>
      <w:rFonts w:ascii="Tahoma" w:hAnsi="Tahoma" w:cs="Tahoma"/>
      <w:sz w:val="16"/>
      <w:szCs w:val="16"/>
    </w:rPr>
  </w:style>
  <w:style w:type="paragraph" w:styleId="Bibliography">
    <w:name w:val="Bibliography"/>
    <w:basedOn w:val="Normal"/>
    <w:next w:val="Normal"/>
    <w:rsid w:val="0040219A"/>
  </w:style>
  <w:style w:type="paragraph" w:styleId="Header">
    <w:name w:val="header"/>
    <w:basedOn w:val="Normal"/>
    <w:link w:val="HeaderChar"/>
    <w:uiPriority w:val="99"/>
    <w:unhideWhenUsed/>
    <w:rsid w:val="00B62130"/>
    <w:pPr>
      <w:tabs>
        <w:tab w:val="center" w:pos="4680"/>
        <w:tab w:val="right" w:pos="9360"/>
      </w:tabs>
    </w:pPr>
  </w:style>
  <w:style w:type="character" w:customStyle="1" w:styleId="HeaderChar">
    <w:name w:val="Header Char"/>
    <w:basedOn w:val="DefaultParagraphFont"/>
    <w:link w:val="Header"/>
    <w:uiPriority w:val="99"/>
    <w:rsid w:val="00B62130"/>
  </w:style>
  <w:style w:type="paragraph" w:styleId="Footer">
    <w:name w:val="footer"/>
    <w:basedOn w:val="Normal"/>
    <w:link w:val="FooterChar"/>
    <w:uiPriority w:val="99"/>
    <w:unhideWhenUsed/>
    <w:rsid w:val="00B62130"/>
    <w:pPr>
      <w:tabs>
        <w:tab w:val="center" w:pos="4680"/>
        <w:tab w:val="right" w:pos="9360"/>
      </w:tabs>
    </w:pPr>
  </w:style>
  <w:style w:type="character" w:customStyle="1" w:styleId="FooterChar">
    <w:name w:val="Footer Char"/>
    <w:basedOn w:val="DefaultParagraphFont"/>
    <w:link w:val="Footer"/>
    <w:uiPriority w:val="99"/>
    <w:rsid w:val="00B62130"/>
  </w:style>
  <w:style w:type="character" w:styleId="CommentReference">
    <w:name w:val="annotation reference"/>
    <w:basedOn w:val="DefaultParagraphFont"/>
    <w:uiPriority w:val="99"/>
    <w:semiHidden/>
    <w:unhideWhenUsed/>
    <w:rsid w:val="00EF7400"/>
    <w:rPr>
      <w:sz w:val="16"/>
      <w:szCs w:val="16"/>
    </w:rPr>
  </w:style>
  <w:style w:type="paragraph" w:styleId="CommentText">
    <w:name w:val="annotation text"/>
    <w:basedOn w:val="Normal"/>
    <w:link w:val="CommentTextChar"/>
    <w:uiPriority w:val="99"/>
    <w:semiHidden/>
    <w:unhideWhenUsed/>
    <w:rsid w:val="00EF7400"/>
    <w:rPr>
      <w:sz w:val="20"/>
      <w:szCs w:val="20"/>
    </w:rPr>
  </w:style>
  <w:style w:type="character" w:customStyle="1" w:styleId="CommentTextChar">
    <w:name w:val="Comment Text Char"/>
    <w:basedOn w:val="DefaultParagraphFont"/>
    <w:link w:val="CommentText"/>
    <w:uiPriority w:val="99"/>
    <w:semiHidden/>
    <w:rsid w:val="00EF7400"/>
    <w:rPr>
      <w:sz w:val="20"/>
      <w:szCs w:val="20"/>
    </w:rPr>
  </w:style>
  <w:style w:type="paragraph" w:styleId="CommentSubject">
    <w:name w:val="annotation subject"/>
    <w:basedOn w:val="CommentText"/>
    <w:next w:val="CommentText"/>
    <w:link w:val="CommentSubjectChar"/>
    <w:uiPriority w:val="99"/>
    <w:semiHidden/>
    <w:unhideWhenUsed/>
    <w:rsid w:val="00EF7400"/>
    <w:rPr>
      <w:b/>
      <w:bCs/>
    </w:rPr>
  </w:style>
  <w:style w:type="character" w:customStyle="1" w:styleId="CommentSubjectChar">
    <w:name w:val="Comment Subject Char"/>
    <w:basedOn w:val="CommentTextChar"/>
    <w:link w:val="CommentSubject"/>
    <w:uiPriority w:val="99"/>
    <w:semiHidden/>
    <w:rsid w:val="00EF740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Amy08</b:Tag>
    <b:SourceType>JournalArticle</b:SourceType>
    <b:Guid>{59A495B6-447A-4541-BC0B-004BEDC50E45}</b:Guid>
    <b:Author>
      <b:Author>
        <b:NameList>
          <b:Person>
            <b:Last>Johnston</b:Last>
            <b:First>Amy</b:First>
            <b:Middle>Nicole Burne</b:Middle>
          </b:Person>
          <b:Person>
            <b:Last>McAllister</b:Last>
            <b:First>Margaret</b:First>
          </b:Person>
        </b:NameList>
      </b:Author>
    </b:Author>
    <b:Title>Back to the fucture with Hands-on Science: Students' Perceptions of Learning Anatomy and Physiology</b:Title>
    <b:JournalName>Nursing Education</b:JournalName>
    <b:Year>2008</b:Year>
    <b:Pages>417-421</b:Pages>
    <b:RefOrder>6</b:RefOrder>
  </b:Source>
  <b:Source>
    <b:Tag>Koe08</b:Tag>
    <b:SourceType>JournalArticle</b:SourceType>
    <b:Guid>{00E6FDFB-08F1-4EB5-A7EA-A59DBF38B07B}</b:Guid>
    <b:Author>
      <b:Author>
        <b:NameList>
          <b:Person>
            <b:Last>Koenig</b:Last>
            <b:First>Katherine</b:First>
          </b:Person>
          <b:Person>
            <b:Last>Frey</b:Last>
            <b:First>Meredith</b:First>
          </b:Person>
          <b:Person>
            <b:Last>Detterman</b:Last>
            <b:First>Douglas</b:First>
          </b:Person>
        </b:NameList>
      </b:Author>
    </b:Author>
    <b:Title>ACT and general cognitive ability</b:Title>
    <b:Year>2008</b:Year>
    <b:JournalName>Intelligence</b:JournalName>
    <b:Pages>153-160</b:Pages>
    <b:RefOrder>9</b:RefOrder>
  </b:Source>
</b:Sources>
</file>

<file path=customXml/itemProps1.xml><?xml version="1.0" encoding="utf-8"?>
<ds:datastoreItem xmlns:ds="http://schemas.openxmlformats.org/officeDocument/2006/customXml" ds:itemID="{9F7C6C5D-7C96-4420-B0D5-CE14EA309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1284</Words>
  <Characters>7319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2010-07-28T13:53:00Z</dcterms:created>
  <dcterms:modified xsi:type="dcterms:W3CDTF">2010-07-28T14:30:00Z</dcterms:modified>
</cp:coreProperties>
</file>