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EC2B783" w14:textId="77777777" w:rsidR="002512C8" w:rsidRDefault="002512C8" w:rsidP="002512C8">
      <w:pPr>
        <w:spacing w:after="0"/>
        <w:ind w:firstLine="0"/>
        <w:rPr>
          <w:b/>
          <w:bCs/>
        </w:rPr>
      </w:pPr>
      <w:bookmarkStart w:id="0" w:name="_Hlk158477360"/>
    </w:p>
    <w:p w14:paraId="7E477C1F" w14:textId="77777777" w:rsidR="002512C8" w:rsidRDefault="002512C8" w:rsidP="002512C8">
      <w:pPr>
        <w:spacing w:after="0"/>
        <w:ind w:firstLine="0"/>
        <w:rPr>
          <w:b/>
          <w:bCs/>
        </w:rPr>
      </w:pPr>
    </w:p>
    <w:p w14:paraId="7E87016C" w14:textId="77777777" w:rsidR="002512C8" w:rsidRDefault="002512C8" w:rsidP="002512C8">
      <w:pPr>
        <w:spacing w:after="0"/>
        <w:ind w:firstLine="0"/>
        <w:rPr>
          <w:b/>
          <w:bCs/>
        </w:rPr>
      </w:pPr>
    </w:p>
    <w:p w14:paraId="187EA6F4" w14:textId="1771A9AD" w:rsidR="00F02D52" w:rsidRDefault="00F02D52" w:rsidP="002512C8">
      <w:pPr>
        <w:spacing w:after="0"/>
        <w:ind w:firstLine="0"/>
        <w:jc w:val="center"/>
        <w:rPr>
          <w:b/>
          <w:bCs/>
        </w:rPr>
      </w:pPr>
      <w:r w:rsidRPr="00D477A8">
        <w:rPr>
          <w:b/>
          <w:bCs/>
        </w:rPr>
        <w:t>Discursive Signals of AI innovation in Colombian</w:t>
      </w:r>
      <w:r>
        <w:rPr>
          <w:b/>
          <w:bCs/>
        </w:rPr>
        <w:t xml:space="preserve"> Agrifood Systems: A Case Study on</w:t>
      </w:r>
      <w:r w:rsidRPr="00D477A8">
        <w:rPr>
          <w:b/>
          <w:bCs/>
        </w:rPr>
        <w:t xml:space="preserve"> Agricultural </w:t>
      </w:r>
      <w:r>
        <w:rPr>
          <w:b/>
          <w:bCs/>
        </w:rPr>
        <w:t>Digital</w:t>
      </w:r>
      <w:r w:rsidRPr="00D477A8">
        <w:rPr>
          <w:b/>
          <w:bCs/>
        </w:rPr>
        <w:t xml:space="preserve"> Communities</w:t>
      </w:r>
    </w:p>
    <w:p w14:paraId="3D9D9C0F" w14:textId="77777777" w:rsidR="00686F05" w:rsidRDefault="00686F05" w:rsidP="002512C8">
      <w:pPr>
        <w:spacing w:after="0"/>
        <w:ind w:firstLine="0"/>
        <w:rPr>
          <w:b/>
          <w:bCs/>
        </w:rPr>
      </w:pPr>
    </w:p>
    <w:p w14:paraId="2A75253C" w14:textId="77777777" w:rsidR="002512C8" w:rsidRDefault="002512C8" w:rsidP="002512C8">
      <w:pPr>
        <w:spacing w:after="0"/>
        <w:ind w:firstLine="0"/>
        <w:rPr>
          <w:b/>
          <w:bCs/>
        </w:rPr>
      </w:pPr>
    </w:p>
    <w:p w14:paraId="286522FC" w14:textId="77777777" w:rsidR="001329B4" w:rsidRDefault="001329B4" w:rsidP="001329B4">
      <w:pPr>
        <w:spacing w:after="0"/>
        <w:jc w:val="center"/>
      </w:pPr>
    </w:p>
    <w:p w14:paraId="4AFBF0DE" w14:textId="77777777" w:rsidR="001329B4" w:rsidRDefault="001329B4" w:rsidP="001329B4">
      <w:pPr>
        <w:spacing w:after="0"/>
        <w:jc w:val="center"/>
      </w:pPr>
      <w:r>
        <w:t xml:space="preserve">Elizabeth Tabares, Graduate Student </w:t>
      </w:r>
    </w:p>
    <w:p w14:paraId="3E544DE3" w14:textId="77777777" w:rsidR="001329B4" w:rsidRDefault="001329B4" w:rsidP="001329B4">
      <w:pPr>
        <w:spacing w:after="0"/>
        <w:jc w:val="center"/>
      </w:pPr>
      <w:r>
        <w:t>Texas A&amp;M University</w:t>
      </w:r>
    </w:p>
    <w:p w14:paraId="433CE41E" w14:textId="77777777" w:rsidR="001329B4" w:rsidRDefault="001329B4" w:rsidP="001329B4">
      <w:pPr>
        <w:spacing w:after="0"/>
        <w:jc w:val="center"/>
      </w:pPr>
      <w:r>
        <w:t>600 John Kimbrough Blvd. 2116 TAMU</w:t>
      </w:r>
    </w:p>
    <w:p w14:paraId="120826E5" w14:textId="77777777" w:rsidR="001329B4" w:rsidRDefault="001329B4" w:rsidP="001329B4">
      <w:pPr>
        <w:spacing w:after="0"/>
        <w:jc w:val="center"/>
      </w:pPr>
      <w:r>
        <w:t>College Station, TX, 77843</w:t>
      </w:r>
    </w:p>
    <w:p w14:paraId="5DC8EA6B" w14:textId="77777777" w:rsidR="001329B4" w:rsidRDefault="001329B4" w:rsidP="001329B4">
      <w:pPr>
        <w:spacing w:after="0"/>
        <w:jc w:val="center"/>
      </w:pPr>
      <w:r>
        <w:t>(979) 862-1979</w:t>
      </w:r>
    </w:p>
    <w:p w14:paraId="7FD5F2CB" w14:textId="77777777" w:rsidR="001329B4" w:rsidRDefault="001329B4" w:rsidP="001329B4">
      <w:pPr>
        <w:spacing w:after="0"/>
        <w:jc w:val="center"/>
      </w:pPr>
      <w:hyperlink r:id="rId7" w:history="1">
        <w:r w:rsidRPr="009625CD">
          <w:rPr>
            <w:rStyle w:val="Hyperlink"/>
          </w:rPr>
          <w:t>elizabeth.tabaresvil@ag.tamu.edu</w:t>
        </w:r>
      </w:hyperlink>
    </w:p>
    <w:p w14:paraId="4DD0537A" w14:textId="77777777" w:rsidR="001329B4" w:rsidRDefault="001329B4" w:rsidP="001329B4">
      <w:pPr>
        <w:spacing w:after="0"/>
        <w:jc w:val="center"/>
      </w:pPr>
    </w:p>
    <w:p w14:paraId="4C1F415E" w14:textId="77777777" w:rsidR="001329B4" w:rsidRDefault="001329B4" w:rsidP="001329B4">
      <w:pPr>
        <w:spacing w:after="0"/>
        <w:jc w:val="center"/>
      </w:pPr>
    </w:p>
    <w:p w14:paraId="661B8904" w14:textId="77777777" w:rsidR="001329B4" w:rsidRDefault="001329B4" w:rsidP="001329B4">
      <w:pPr>
        <w:spacing w:after="0"/>
        <w:jc w:val="center"/>
      </w:pPr>
    </w:p>
    <w:p w14:paraId="49643E70" w14:textId="77777777" w:rsidR="001329B4" w:rsidRDefault="001329B4" w:rsidP="001329B4">
      <w:pPr>
        <w:spacing w:after="0"/>
        <w:jc w:val="center"/>
      </w:pPr>
    </w:p>
    <w:p w14:paraId="25BC1C51" w14:textId="77777777" w:rsidR="001329B4" w:rsidRDefault="001329B4" w:rsidP="001329B4">
      <w:pPr>
        <w:spacing w:after="0"/>
        <w:jc w:val="center"/>
      </w:pPr>
      <w:r>
        <w:t>Rafael Landaverde, Assistant Professor</w:t>
      </w:r>
    </w:p>
    <w:p w14:paraId="3C9709CC" w14:textId="77777777" w:rsidR="001329B4" w:rsidRDefault="001329B4" w:rsidP="001329B4">
      <w:pPr>
        <w:spacing w:after="0"/>
        <w:jc w:val="center"/>
      </w:pPr>
      <w:r>
        <w:t>Texas A&amp;M University</w:t>
      </w:r>
    </w:p>
    <w:p w14:paraId="095F9DB2" w14:textId="77777777" w:rsidR="001329B4" w:rsidRDefault="001329B4" w:rsidP="001329B4">
      <w:pPr>
        <w:spacing w:after="0"/>
        <w:jc w:val="center"/>
      </w:pPr>
      <w:r>
        <w:t>600 John Kimbrough Blvd. 2116 TAMU</w:t>
      </w:r>
    </w:p>
    <w:p w14:paraId="34316D30" w14:textId="77777777" w:rsidR="001329B4" w:rsidRDefault="001329B4" w:rsidP="001329B4">
      <w:pPr>
        <w:spacing w:after="0"/>
        <w:jc w:val="center"/>
      </w:pPr>
      <w:r>
        <w:t>College Station, TX, 77843</w:t>
      </w:r>
    </w:p>
    <w:p w14:paraId="673694C4" w14:textId="77777777" w:rsidR="001329B4" w:rsidRDefault="001329B4" w:rsidP="001329B4">
      <w:pPr>
        <w:spacing w:after="0"/>
        <w:jc w:val="center"/>
      </w:pPr>
      <w:r>
        <w:t>(979)321-5764</w:t>
      </w:r>
    </w:p>
    <w:p w14:paraId="33F6043C" w14:textId="77777777" w:rsidR="001329B4" w:rsidRDefault="001329B4" w:rsidP="001329B4">
      <w:pPr>
        <w:spacing w:after="0"/>
        <w:jc w:val="center"/>
      </w:pPr>
      <w:hyperlink r:id="rId8" w:history="1">
        <w:r w:rsidRPr="009625CD">
          <w:rPr>
            <w:rStyle w:val="Hyperlink"/>
          </w:rPr>
          <w:t>rafael.q@ag.tamu.edu</w:t>
        </w:r>
      </w:hyperlink>
    </w:p>
    <w:p w14:paraId="000D5442" w14:textId="77777777" w:rsidR="001329B4" w:rsidRDefault="001329B4" w:rsidP="001329B4">
      <w:pPr>
        <w:spacing w:after="0"/>
        <w:jc w:val="center"/>
      </w:pPr>
    </w:p>
    <w:p w14:paraId="1A8086F6" w14:textId="77777777" w:rsidR="002512C8" w:rsidRDefault="002512C8" w:rsidP="002512C8">
      <w:pPr>
        <w:spacing w:after="0"/>
        <w:ind w:firstLine="0"/>
        <w:rPr>
          <w:b/>
          <w:bCs/>
        </w:rPr>
      </w:pPr>
    </w:p>
    <w:p w14:paraId="07090C3E" w14:textId="77777777" w:rsidR="002512C8" w:rsidRDefault="002512C8">
      <w:pPr>
        <w:spacing w:after="0"/>
        <w:rPr>
          <w:b/>
          <w:bCs/>
        </w:rPr>
      </w:pPr>
      <w:r>
        <w:rPr>
          <w:b/>
          <w:bCs/>
        </w:rPr>
        <w:br w:type="page"/>
      </w:r>
    </w:p>
    <w:p w14:paraId="4FC3C784" w14:textId="4FC6571E" w:rsidR="008F3A0D" w:rsidRDefault="008F3A0D" w:rsidP="008F3A0D">
      <w:pPr>
        <w:spacing w:after="0"/>
        <w:jc w:val="center"/>
        <w:rPr>
          <w:b/>
          <w:bCs/>
        </w:rPr>
      </w:pPr>
      <w:r w:rsidRPr="00D477A8">
        <w:rPr>
          <w:b/>
          <w:bCs/>
        </w:rPr>
        <w:lastRenderedPageBreak/>
        <w:t>Discursive Signals of AI innovation in Colombian</w:t>
      </w:r>
      <w:r>
        <w:rPr>
          <w:b/>
          <w:bCs/>
        </w:rPr>
        <w:t xml:space="preserve"> Agrifood Systems: A Case Study on</w:t>
      </w:r>
      <w:r w:rsidRPr="00D477A8">
        <w:rPr>
          <w:b/>
          <w:bCs/>
        </w:rPr>
        <w:t xml:space="preserve"> Agricultural </w:t>
      </w:r>
      <w:r>
        <w:rPr>
          <w:b/>
          <w:bCs/>
        </w:rPr>
        <w:t>Digital</w:t>
      </w:r>
      <w:r w:rsidRPr="00D477A8">
        <w:rPr>
          <w:b/>
          <w:bCs/>
        </w:rPr>
        <w:t xml:space="preserve"> Communities</w:t>
      </w:r>
    </w:p>
    <w:p w14:paraId="46945A97" w14:textId="77777777" w:rsidR="00FF187E" w:rsidRPr="008F3A0D" w:rsidRDefault="00FF187E" w:rsidP="008F3A0D">
      <w:pPr>
        <w:spacing w:after="0"/>
        <w:jc w:val="center"/>
        <w:rPr>
          <w:b/>
          <w:bCs/>
        </w:rPr>
      </w:pPr>
    </w:p>
    <w:p w14:paraId="1222C173" w14:textId="48864402" w:rsidR="00C21EDE" w:rsidRDefault="00C21EDE" w:rsidP="00C21EDE">
      <w:pPr>
        <w:pStyle w:val="Heading1"/>
      </w:pPr>
      <w:r>
        <w:t>Introduction</w:t>
      </w:r>
    </w:p>
    <w:p w14:paraId="5435C08C" w14:textId="148DCF40" w:rsidR="005622D6" w:rsidRPr="00BF7B72" w:rsidRDefault="005622D6" w:rsidP="00C21EDE">
      <w:r w:rsidRPr="00095BF7">
        <w:t xml:space="preserve">Social media platforms have become important spaces for public communication, participation, and information exchange across </w:t>
      </w:r>
      <w:r w:rsidR="005B3ECB">
        <w:t>several context</w:t>
      </w:r>
      <w:r w:rsidR="002F3218">
        <w:t>s</w:t>
      </w:r>
      <w:r w:rsidR="00E02F40" w:rsidRPr="00095BF7">
        <w:t>.</w:t>
      </w:r>
      <w:r w:rsidRPr="00095BF7">
        <w:t xml:space="preserve"> </w:t>
      </w:r>
      <w:r w:rsidR="00473BFD" w:rsidRPr="00095BF7">
        <w:t xml:space="preserve">Social </w:t>
      </w:r>
      <w:r w:rsidR="00E92474">
        <w:t>media</w:t>
      </w:r>
      <w:r w:rsidR="00473BFD" w:rsidRPr="00095BF7">
        <w:t xml:space="preserve"> can influence policymaking </w:t>
      </w:r>
      <w:r w:rsidR="0051188F">
        <w:t xml:space="preserve">and shape </w:t>
      </w:r>
      <w:r w:rsidR="004D0708" w:rsidRPr="00BF7B72">
        <w:t xml:space="preserve">public </w:t>
      </w:r>
      <w:r w:rsidR="0051188F" w:rsidRPr="00BF7B72">
        <w:t>p</w:t>
      </w:r>
      <w:r w:rsidR="00473BFD" w:rsidRPr="00BF7B72">
        <w:t>erceptions, attention, and behavioral intentions through informational and social mechanisms (</w:t>
      </w:r>
      <w:r w:rsidR="005E56D0" w:rsidRPr="00BF7B72">
        <w:t xml:space="preserve">Battaglini &amp; Patacchini, 2019; </w:t>
      </w:r>
      <w:r w:rsidR="00473BFD" w:rsidRPr="00BF7B72">
        <w:t>Liu et al., 2023; Nekmahmud et al., 2022; Ausat, 2023).</w:t>
      </w:r>
      <w:r w:rsidR="00E864C3" w:rsidRPr="00BF7B72">
        <w:t xml:space="preserve"> In agriculture, </w:t>
      </w:r>
      <w:r w:rsidR="00F065C0" w:rsidRPr="00BF7B72">
        <w:t xml:space="preserve">social media </w:t>
      </w:r>
      <w:r w:rsidR="00D42CDA" w:rsidRPr="00BF7B72">
        <w:t xml:space="preserve">is used </w:t>
      </w:r>
      <w:r w:rsidR="00476ACF" w:rsidRPr="00BF7B72">
        <w:t xml:space="preserve">for </w:t>
      </w:r>
      <w:r w:rsidR="006E06FA" w:rsidRPr="00BF7B72">
        <w:t>information exchange (</w:t>
      </w:r>
      <w:r w:rsidR="00851C3F" w:rsidRPr="00BF7B72">
        <w:t>Ramavhale et al.</w:t>
      </w:r>
      <w:r w:rsidR="00160929" w:rsidRPr="00BF7B72">
        <w:t>,</w:t>
      </w:r>
      <w:r w:rsidR="00851C3F" w:rsidRPr="00BF7B72">
        <w:t xml:space="preserve"> 20</w:t>
      </w:r>
      <w:r w:rsidR="00160929" w:rsidRPr="00BF7B72">
        <w:t xml:space="preserve">24; </w:t>
      </w:r>
      <w:r w:rsidR="006E06FA" w:rsidRPr="00BF7B72">
        <w:t xml:space="preserve">Balkrishna </w:t>
      </w:r>
      <w:r w:rsidR="00826B19" w:rsidRPr="00BF7B72">
        <w:t>&amp;</w:t>
      </w:r>
      <w:r w:rsidR="006E06FA" w:rsidRPr="00BF7B72">
        <w:t xml:space="preserve"> </w:t>
      </w:r>
      <w:r w:rsidR="00925B03" w:rsidRPr="00BF7B72">
        <w:t>Deshmukh, 2017)</w:t>
      </w:r>
      <w:r w:rsidR="008C068B" w:rsidRPr="00BF7B72">
        <w:t>, for information seeking</w:t>
      </w:r>
      <w:r w:rsidR="0029798E" w:rsidRPr="00BF7B72">
        <w:t xml:space="preserve"> and discussion</w:t>
      </w:r>
      <w:r w:rsidR="008C068B" w:rsidRPr="00BF7B72">
        <w:t xml:space="preserve"> on agricultural technology (Ya</w:t>
      </w:r>
      <w:r w:rsidR="009E6191" w:rsidRPr="00BF7B72">
        <w:t>dav et al., 2023</w:t>
      </w:r>
      <w:r w:rsidR="00235208" w:rsidRPr="00BF7B72">
        <w:t xml:space="preserve">; </w:t>
      </w:r>
      <w:r w:rsidR="001864C0" w:rsidRPr="00BF7B72">
        <w:t>Ofori &amp; El-Gayar, 2021</w:t>
      </w:r>
      <w:r w:rsidR="009E6191" w:rsidRPr="00BF7B72">
        <w:t xml:space="preserve">) </w:t>
      </w:r>
      <w:r w:rsidR="00D42CDA" w:rsidRPr="00BF7B72">
        <w:t xml:space="preserve">and less for </w:t>
      </w:r>
      <w:r w:rsidR="00CC7730" w:rsidRPr="00BF7B72">
        <w:t xml:space="preserve">marketing and </w:t>
      </w:r>
      <w:r w:rsidR="00E74533" w:rsidRPr="00BF7B72">
        <w:t>entrepreneurial</w:t>
      </w:r>
      <w:r w:rsidR="00CC7730" w:rsidRPr="00BF7B72">
        <w:t xml:space="preserve"> activities </w:t>
      </w:r>
      <w:r w:rsidR="00A608CB" w:rsidRPr="00BF7B72">
        <w:t xml:space="preserve">(Balkrishna </w:t>
      </w:r>
      <w:r w:rsidR="00826B19" w:rsidRPr="00BF7B72">
        <w:t>&amp;</w:t>
      </w:r>
      <w:r w:rsidR="00A608CB" w:rsidRPr="00BF7B72">
        <w:t xml:space="preserve"> Deshmukh, 2017; Morris </w:t>
      </w:r>
      <w:r w:rsidR="00826B19" w:rsidRPr="00BF7B72">
        <w:t>&amp;</w:t>
      </w:r>
      <w:r w:rsidR="00A608CB" w:rsidRPr="00BF7B72">
        <w:t xml:space="preserve"> James</w:t>
      </w:r>
      <w:r w:rsidR="00826B19" w:rsidRPr="00BF7B72">
        <w:t>, 2017).</w:t>
      </w:r>
      <w:r w:rsidR="001E0608" w:rsidRPr="00BF7B72">
        <w:t xml:space="preserve"> </w:t>
      </w:r>
    </w:p>
    <w:p w14:paraId="65D26A17" w14:textId="6959282D" w:rsidR="00C21EDE" w:rsidRDefault="00B6745A" w:rsidP="00C21EDE">
      <w:r w:rsidRPr="00BF7B72">
        <w:t xml:space="preserve">Colombia has </w:t>
      </w:r>
      <w:r w:rsidR="00DC3E20" w:rsidRPr="00BF7B72">
        <w:t>adopted</w:t>
      </w:r>
      <w:r w:rsidRPr="00BF7B72">
        <w:t xml:space="preserve"> public policies that promote the responsible use of artificial intelligence and big data as key drivers </w:t>
      </w:r>
      <w:r w:rsidR="0035286C" w:rsidRPr="00BF7B72">
        <w:t>for</w:t>
      </w:r>
      <w:r w:rsidRPr="00BF7B72">
        <w:t xml:space="preserve"> development</w:t>
      </w:r>
      <w:r w:rsidR="00ED513D" w:rsidRPr="00BF7B72">
        <w:t xml:space="preserve"> (</w:t>
      </w:r>
      <w:r w:rsidR="006C083C" w:rsidRPr="00BF7B72">
        <w:t>Republic of Colombia, 2023)</w:t>
      </w:r>
      <w:r w:rsidRPr="00BF7B72">
        <w:t xml:space="preserve">. </w:t>
      </w:r>
      <w:r w:rsidR="00527D65" w:rsidRPr="00BF7B72">
        <w:t>As AI-related technical and policy initiatives expand, social research is needed to understand how these developments are perceived, interpreted, and discussed within agricultural</w:t>
      </w:r>
      <w:r w:rsidR="00527D65" w:rsidRPr="00095BF7">
        <w:t xml:space="preserve"> communities.</w:t>
      </w:r>
      <w:r w:rsidR="00EE4783">
        <w:t xml:space="preserve"> </w:t>
      </w:r>
      <w:r w:rsidR="000D43D6" w:rsidRPr="00095BF7">
        <w:t xml:space="preserve">This case study explores whether social media discussions </w:t>
      </w:r>
      <w:r w:rsidR="002A72EA">
        <w:t xml:space="preserve">on AI </w:t>
      </w:r>
      <w:r w:rsidR="00BD678E">
        <w:t xml:space="preserve">in Colombia </w:t>
      </w:r>
      <w:r w:rsidR="000D43D6" w:rsidRPr="00095BF7">
        <w:t>may reveal useful indicators for understanding AI-based agricultural innovation adoption through constructs associated with the Technology Acceptance Model (TAM), particularly regarding perception, social influence, and opinion formation.</w:t>
      </w:r>
    </w:p>
    <w:p w14:paraId="543CEFD6" w14:textId="77777777" w:rsidR="00C21EDE" w:rsidRPr="00A2750C" w:rsidRDefault="00C21EDE" w:rsidP="00C21EDE">
      <w:pPr>
        <w:pStyle w:val="Heading1"/>
      </w:pPr>
      <w:r>
        <w:t>Conceptual</w:t>
      </w:r>
      <w:r w:rsidRPr="00A2750C">
        <w:t xml:space="preserve"> Framework</w:t>
      </w:r>
    </w:p>
    <w:p w14:paraId="40C9CBC5" w14:textId="1A5ED2F8" w:rsidR="00C21EDE" w:rsidRPr="00BF7B72" w:rsidRDefault="0087534C" w:rsidP="00C21EDE">
      <w:r w:rsidRPr="00CD1E71">
        <w:t xml:space="preserve">We informed our study based on the collective approach on technology adoption </w:t>
      </w:r>
      <w:r w:rsidRPr="00BF7B72">
        <w:t>proposed by Dissanayake et al. (2022) that integrates prior adoption theories into an agriculture-specific framework. The model argues that agricultural technology adoption is shaped by four broad factor groups: technology-related factors, personal attributes, social/institutional factors, and economic factors, especially the availability of capital sources. The model links these factors to perceived usefulness, perceived ease of use, compatibility, interpersonal influence, external influence, self-efficacy, and facilitating conditions. These then shape attitude, subjective norms, perceived behavioral control, behavioral intention, and behavior. The outcome is not only adoption or non-adoption, but also continued adoption, discontinued adoption, late adoption, or continued non-adoption.</w:t>
      </w:r>
    </w:p>
    <w:p w14:paraId="1082FD9F" w14:textId="77777777" w:rsidR="00C21EDE" w:rsidRPr="00BF7B72" w:rsidRDefault="00C21EDE" w:rsidP="00C21EDE">
      <w:pPr>
        <w:pStyle w:val="Heading1"/>
      </w:pPr>
      <w:r w:rsidRPr="00BF7B72">
        <w:t>Methods</w:t>
      </w:r>
    </w:p>
    <w:p w14:paraId="546AEA49" w14:textId="2FDC6221" w:rsidR="00C21EDE" w:rsidRPr="002B1DC7" w:rsidRDefault="00090FFB" w:rsidP="00C21EDE">
      <w:r w:rsidRPr="00BF7B72">
        <w:t>We adopted an exploratory case study as a research approach to develop a detailed description and analysis of many forms of data (Creswell &amp; Poth 2024). We selected Facebook since it is the most popular social media platform in Colombia. The underlying assumption, informed by the prominence of AI in policy and institutional narratives</w:t>
      </w:r>
      <w:r w:rsidRPr="00481A9F">
        <w:t>, was that such enthusiasm would be mirrored in social-level discourse in digital communities.</w:t>
      </w:r>
      <w:r w:rsidR="0026089F">
        <w:t xml:space="preserve"> </w:t>
      </w:r>
      <w:r w:rsidR="00C00E8B">
        <w:t>T</w:t>
      </w:r>
      <w:r w:rsidR="00FA0332" w:rsidRPr="00481A9F">
        <w:t xml:space="preserve">wenty Facebook groups </w:t>
      </w:r>
      <w:r w:rsidR="00506887">
        <w:t xml:space="preserve">from </w:t>
      </w:r>
      <w:r w:rsidR="00FA0332" w:rsidRPr="00481A9F">
        <w:t>academia, general media, specialized media, government, agribusiness, technology developers, and research</w:t>
      </w:r>
      <w:r w:rsidR="00C00E8B">
        <w:t xml:space="preserve"> arena along with </w:t>
      </w:r>
      <w:r w:rsidR="00FA0332" w:rsidRPr="00481A9F">
        <w:t>ten agricultural communities focused on AI were identified and monitored in March 2026. All available posts related to AI in agriculture were included in the analysis</w:t>
      </w:r>
      <w:r w:rsidR="007B0D93">
        <w:t xml:space="preserve">. </w:t>
      </w:r>
      <w:r w:rsidR="00825ABD" w:rsidRPr="00FF1979">
        <w:t>Inductive content analysis was implemented.</w:t>
      </w:r>
    </w:p>
    <w:p w14:paraId="24AAD07B" w14:textId="77777777" w:rsidR="00C21EDE" w:rsidRDefault="00C21EDE" w:rsidP="00C21EDE">
      <w:pPr>
        <w:pStyle w:val="Heading1"/>
      </w:pPr>
      <w:r>
        <w:lastRenderedPageBreak/>
        <w:t>Results</w:t>
      </w:r>
    </w:p>
    <w:p w14:paraId="480CCFFB" w14:textId="590B93D4" w:rsidR="00C21EDE" w:rsidRDefault="00D92EE3" w:rsidP="00C21EDE">
      <w:r w:rsidRPr="00A52572">
        <w:t xml:space="preserve">A total of nineteen posts from fifteen groups were identified. </w:t>
      </w:r>
      <w:r w:rsidR="00F5288C">
        <w:t xml:space="preserve">None of the producer organizations published content </w:t>
      </w:r>
      <w:r w:rsidR="00B716A1">
        <w:t>on</w:t>
      </w:r>
      <w:r w:rsidR="00F5288C">
        <w:t xml:space="preserve"> the use of AI in agriculture.</w:t>
      </w:r>
      <w:r w:rsidR="00F454A0">
        <w:t xml:space="preserve"> </w:t>
      </w:r>
      <w:r w:rsidR="00F454A0" w:rsidRPr="00A52572">
        <w:t>The oldest post was published in 2023.</w:t>
      </w:r>
      <w:r w:rsidR="00813ACE">
        <w:t xml:space="preserve"> </w:t>
      </w:r>
      <w:r w:rsidR="00813ACE" w:rsidRPr="00A52572">
        <w:t xml:space="preserve">The posts were </w:t>
      </w:r>
      <w:r w:rsidR="00F60283">
        <w:t xml:space="preserve">mainly </w:t>
      </w:r>
      <w:r w:rsidR="00813ACE" w:rsidRPr="00A52572">
        <w:t>informational rather than dialogical, consisting of general news, blog-style content, invitations to events, and announcements of AI-related summits, presentations, and training opportunities.</w:t>
      </w:r>
      <w:r w:rsidR="002728AA">
        <w:t xml:space="preserve"> </w:t>
      </w:r>
      <w:r w:rsidR="002728AA" w:rsidRPr="00A52572">
        <w:t xml:space="preserve">Contrary to expectations, discursive engagement was nearly absent. </w:t>
      </w:r>
      <w:r w:rsidR="004E6E42">
        <w:t>N</w:t>
      </w:r>
      <w:r w:rsidR="002728AA" w:rsidRPr="00A52572">
        <w:t>ine comments were retrieved across all posts, which weakened the original plan, focused on discourse analysis.</w:t>
      </w:r>
      <w:r w:rsidR="00C21EDE">
        <w:t xml:space="preserve"> </w:t>
      </w:r>
      <w:r w:rsidR="00C4058D">
        <w:t xml:space="preserve">Figure 1 shows </w:t>
      </w:r>
      <w:r w:rsidR="00BD5A72">
        <w:t>from</w:t>
      </w:r>
      <w:r w:rsidR="00BD5A72" w:rsidRPr="004E4631">
        <w:t xml:space="preserve"> </w:t>
      </w:r>
      <w:r w:rsidR="00BD5A72">
        <w:t>content</w:t>
      </w:r>
      <w:r w:rsidR="00BD5A72" w:rsidRPr="004E4631">
        <w:t xml:space="preserve"> analysis </w:t>
      </w:r>
      <w:r w:rsidR="00F60283">
        <w:t>t</w:t>
      </w:r>
      <w:r w:rsidR="00BD5A72" w:rsidRPr="004E4631">
        <w:t>hat both points of view, critical and supportive, are present in the postures on the technical, social, and political aspects of AI adoption.</w:t>
      </w:r>
    </w:p>
    <w:p w14:paraId="1DAF67B8" w14:textId="1926F2DD" w:rsidR="007E4C88" w:rsidRPr="009B3220" w:rsidRDefault="00E945AE" w:rsidP="007E4C88">
      <w:pPr>
        <w:spacing w:after="0"/>
        <w:ind w:firstLine="0"/>
        <w:rPr>
          <w:i/>
          <w:iCs/>
        </w:rPr>
      </w:pPr>
      <w:r w:rsidRPr="004443A0">
        <w:rPr>
          <w:b/>
          <w:bCs/>
          <w:iCs/>
        </w:rPr>
        <w:t xml:space="preserve">Figure 1 </w:t>
      </w:r>
      <w:r w:rsidRPr="004443A0">
        <w:rPr>
          <w:b/>
          <w:bCs/>
          <w:iCs/>
        </w:rPr>
        <w:br/>
      </w:r>
      <w:r w:rsidR="007E4C88" w:rsidRPr="009B3220">
        <w:rPr>
          <w:i/>
          <w:iCs/>
        </w:rPr>
        <w:t xml:space="preserve">Discourse </w:t>
      </w:r>
      <w:r w:rsidR="007E4C88">
        <w:rPr>
          <w:i/>
          <w:iCs/>
        </w:rPr>
        <w:t xml:space="preserve">Signals </w:t>
      </w:r>
      <w:r w:rsidR="007E4C88" w:rsidRPr="009B3220">
        <w:rPr>
          <w:i/>
          <w:iCs/>
        </w:rPr>
        <w:t xml:space="preserve">in AI-based Agricultural Innovation on Digital Communities </w:t>
      </w:r>
    </w:p>
    <w:p w14:paraId="1A70B35D" w14:textId="2A96C418" w:rsidR="00C21EDE" w:rsidRDefault="009F63F7" w:rsidP="00C21EDE">
      <w:pPr>
        <w:pStyle w:val="Note-Table"/>
      </w:pPr>
      <w:r w:rsidRPr="009F63F7">
        <w:rPr>
          <w:noProof/>
        </w:rPr>
        <w:drawing>
          <wp:inline distT="0" distB="0" distL="0" distR="0" wp14:anchorId="74ED965F" wp14:editId="37A2AB9E">
            <wp:extent cx="5295900" cy="3030954"/>
            <wp:effectExtent l="0" t="0" r="0" b="0"/>
            <wp:docPr id="11097873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9787312" name=""/>
                    <pic:cNvPicPr/>
                  </pic:nvPicPr>
                  <pic:blipFill rotWithShape="1">
                    <a:blip r:embed="rId9"/>
                    <a:srcRect l="8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912" cy="30355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CCD927" w14:textId="77777777" w:rsidR="00C21EDE" w:rsidRDefault="00C21EDE" w:rsidP="00C21EDE">
      <w:pPr>
        <w:pStyle w:val="Heading1"/>
      </w:pPr>
      <w:r>
        <w:t>Conclusions/Implications</w:t>
      </w:r>
    </w:p>
    <w:p w14:paraId="6C9F1C3E" w14:textId="0675127B" w:rsidR="00C21EDE" w:rsidRDefault="00C74A5F" w:rsidP="001329B4">
      <w:pPr>
        <w:rPr>
          <w:b/>
          <w:bCs/>
        </w:rPr>
      </w:pPr>
      <w:r w:rsidRPr="00C21305">
        <w:t>The discussions on the use of AI in agriculture account not only for social, environmental, and political challenges but also for opportunities for governance</w:t>
      </w:r>
      <w:r>
        <w:t xml:space="preserve"> and</w:t>
      </w:r>
      <w:r w:rsidRPr="00C21305">
        <w:t xml:space="preserve"> conservation. </w:t>
      </w:r>
      <w:r w:rsidR="000E34BB" w:rsidRPr="003B2CEC">
        <w:t>The study reveals a low-dense and high-heterogeneous level engagement in discourse of AI in Colombian agriculture.</w:t>
      </w:r>
      <w:r w:rsidRPr="00C21305">
        <w:t xml:space="preserve"> </w:t>
      </w:r>
      <w:r w:rsidR="009E5FFB">
        <w:t>T</w:t>
      </w:r>
      <w:r w:rsidRPr="00C21305">
        <w:t xml:space="preserve">he empirical evidence suggests a nascent process of engagement in the discussions. </w:t>
      </w:r>
      <w:r w:rsidR="00EB52C4">
        <w:t>The</w:t>
      </w:r>
      <w:r w:rsidRPr="00C21305">
        <w:t xml:space="preserve"> retrieved comments show rich content that reveals a diversity of positions</w:t>
      </w:r>
      <w:r w:rsidR="00934AF5">
        <w:t xml:space="preserve"> including </w:t>
      </w:r>
      <w:r w:rsidRPr="00C21305">
        <w:t>skepticism toward technical feasibility and social implications, concerns about bureaucracy and corruption, support for regulation to prevent misuse, AI as a tool to address or exacerbate environmental concerns, optimism about AI improving ineffective governance, and the opportunity to reflect and avoid past mistakes.</w:t>
      </w:r>
      <w:r w:rsidR="00AA6A40">
        <w:t xml:space="preserve"> </w:t>
      </w:r>
      <w:r w:rsidR="00AA6A40" w:rsidRPr="00F20C40">
        <w:rPr>
          <w:color w:val="000000" w:themeColor="text1"/>
        </w:rPr>
        <w:t>Monitoring discursive signals for a longer period (2-3 years) and including other digital communities has the potential of providing valuable information to understand the acceptance and adoption of AI-based agricultural from a social perspective.</w:t>
      </w:r>
      <w:r w:rsidR="00C21EDE">
        <w:rPr>
          <w:b/>
          <w:bCs/>
        </w:rPr>
        <w:br w:type="page"/>
      </w:r>
    </w:p>
    <w:p w14:paraId="3050FF76" w14:textId="56008299" w:rsidR="00C21EDE" w:rsidRPr="007B48DC" w:rsidRDefault="00C21EDE" w:rsidP="00C21EDE">
      <w:pPr>
        <w:pStyle w:val="Heading1"/>
      </w:pPr>
      <w:r>
        <w:lastRenderedPageBreak/>
        <w:t>References</w:t>
      </w:r>
    </w:p>
    <w:bookmarkEnd w:id="0"/>
    <w:p w14:paraId="42914391" w14:textId="61D08CA6" w:rsidR="00C7797D" w:rsidRPr="00C7797D" w:rsidRDefault="00F85A55" w:rsidP="00847C86">
      <w:pPr>
        <w:spacing w:after="0"/>
        <w:ind w:left="720" w:hanging="720"/>
        <w:rPr>
          <w:color w:val="EE0000"/>
          <w:highlight w:val="yellow"/>
        </w:rPr>
      </w:pPr>
      <w:r w:rsidRPr="00E826DA">
        <w:t xml:space="preserve">Balkrishna, B. B., &amp; Deshmukh, A. A. (2017). A study on role of social media in agriculture </w:t>
      </w:r>
      <w:r w:rsidRPr="00F85A55">
        <w:t xml:space="preserve">marketing and its scope. </w:t>
      </w:r>
      <w:r w:rsidRPr="00E87C81">
        <w:rPr>
          <w:i/>
          <w:iCs/>
        </w:rPr>
        <w:t>International Journal of Management, IT and Engineering</w:t>
      </w:r>
      <w:r w:rsidRPr="00F85A55">
        <w:t xml:space="preserve">, </w:t>
      </w:r>
      <w:r w:rsidRPr="00E87C81">
        <w:rPr>
          <w:i/>
          <w:iCs/>
        </w:rPr>
        <w:t>7</w:t>
      </w:r>
      <w:r w:rsidRPr="00F85A55">
        <w:t xml:space="preserve">(4), 416–423. </w:t>
      </w:r>
      <w:hyperlink r:id="rId10" w:tgtFrame="_blank" w:history="1">
        <w:r w:rsidRPr="00F85A55">
          <w:rPr>
            <w:rStyle w:val="Hyperlink"/>
          </w:rPr>
          <w:t>http://www.ijmra.us</w:t>
        </w:r>
      </w:hyperlink>
    </w:p>
    <w:p w14:paraId="286AFD23" w14:textId="14F6290B" w:rsidR="00847C86" w:rsidRPr="00BF7B72" w:rsidRDefault="00847C86" w:rsidP="00847C86">
      <w:pPr>
        <w:spacing w:after="0"/>
        <w:ind w:left="720" w:hanging="720"/>
      </w:pPr>
      <w:r w:rsidRPr="00BF7B72">
        <w:t xml:space="preserve">Battaglini, M., &amp; Patacchini, E. (2019). Social networks in policy making. </w:t>
      </w:r>
      <w:r w:rsidRPr="00BF7B72">
        <w:rPr>
          <w:i/>
          <w:iCs/>
        </w:rPr>
        <w:t>Annual Review of Economics, 11</w:t>
      </w:r>
      <w:r w:rsidRPr="00BF7B72">
        <w:t xml:space="preserve">, 473–494. </w:t>
      </w:r>
      <w:hyperlink r:id="rId11" w:history="1">
        <w:r w:rsidRPr="00BF7B72">
          <w:rPr>
            <w:rStyle w:val="Hyperlink"/>
          </w:rPr>
          <w:t>https://doi.org/10.1146/annurev-economics-080218-030419</w:t>
        </w:r>
      </w:hyperlink>
    </w:p>
    <w:p w14:paraId="1A370B78" w14:textId="77777777" w:rsidR="00847C86" w:rsidRPr="00BF7B72" w:rsidRDefault="00847C86" w:rsidP="00847C86">
      <w:pPr>
        <w:spacing w:after="0"/>
        <w:ind w:left="720" w:hanging="720"/>
      </w:pPr>
      <w:r w:rsidRPr="00BF7B72">
        <w:t xml:space="preserve">Creswell, J. W., &amp; Poth, C. N. (2024). </w:t>
      </w:r>
      <w:r w:rsidRPr="00BF7B72">
        <w:rPr>
          <w:i/>
          <w:iCs/>
        </w:rPr>
        <w:t xml:space="preserve">Qualitative inquiry &amp; research design: Choosing among five approaches </w:t>
      </w:r>
      <w:r w:rsidRPr="00BF7B72">
        <w:t>(5th ed). SAGE.</w:t>
      </w:r>
    </w:p>
    <w:p w14:paraId="5E89BD1C" w14:textId="77777777" w:rsidR="00847C86" w:rsidRPr="00E826DA" w:rsidRDefault="00847C86" w:rsidP="00847C86">
      <w:pPr>
        <w:spacing w:after="0"/>
        <w:ind w:left="720" w:hanging="720"/>
        <w:rPr>
          <w:lang w:val="es-CO"/>
        </w:rPr>
      </w:pPr>
      <w:r w:rsidRPr="00BF7B72">
        <w:t>Dissanayake, C. A. K., Jayathilake, W., Wickramasuriya, H. V. A., Dissanayake, U., Kopiyawattage, K. P. P., &amp; Wasala, W. M. C. B. (2022). Theories and models of technology adoption in agricultural sector. </w:t>
      </w:r>
      <w:r w:rsidRPr="00BF7B72">
        <w:rPr>
          <w:i/>
          <w:iCs/>
        </w:rPr>
        <w:t>Human Behavior and Emerging Technologies</w:t>
      </w:r>
      <w:r w:rsidRPr="00BF7B72">
        <w:t>, 9258317. </w:t>
      </w:r>
      <w:hyperlink r:id="rId12" w:tooltip="https://urldefense.com/v3/__https://doi.org/10.1155/2022/9258317__;!!KwNVnqRv!EH86C-oautDYQKJLGRKP40oxNRFl_LXKt-9lowbLFbGuL6YfMhwBHhEWbUZffuwQCzejh4tZcqato_Ou2uAw1QIjMyABo9HegEz1$" w:history="1">
        <w:r w:rsidRPr="00E826DA">
          <w:rPr>
            <w:rStyle w:val="Hyperlink"/>
            <w:lang w:val="es-CO"/>
          </w:rPr>
          <w:t>https://doi.org/10.1155/2022/9258317</w:t>
        </w:r>
      </w:hyperlink>
    </w:p>
    <w:p w14:paraId="3DC0A817" w14:textId="77777777" w:rsidR="00847C86" w:rsidRPr="00BF7B72" w:rsidRDefault="00847C86" w:rsidP="00847C86">
      <w:pPr>
        <w:spacing w:after="0"/>
        <w:ind w:left="720" w:hanging="720"/>
      </w:pPr>
      <w:r w:rsidRPr="00BF7B72">
        <w:rPr>
          <w:lang w:val="es-CO"/>
        </w:rPr>
        <w:t xml:space="preserve">Liu, M., Luo, X., &amp; Lu, W.-Z. (2023). </w:t>
      </w:r>
      <w:r w:rsidRPr="00BF7B72">
        <w:t xml:space="preserve">Public perceptions of environmental, social, and governance (ESG) based on social media data: Evidence from China. </w:t>
      </w:r>
      <w:r w:rsidRPr="00BF7B72">
        <w:rPr>
          <w:i/>
          <w:iCs/>
        </w:rPr>
        <w:t>Journal of Cleaner Production, 387</w:t>
      </w:r>
      <w:r w:rsidRPr="00BF7B72">
        <w:t xml:space="preserve">, 135840. </w:t>
      </w:r>
      <w:hyperlink r:id="rId13" w:tgtFrame="_new" w:history="1">
        <w:r w:rsidRPr="00BF7B72">
          <w:rPr>
            <w:rStyle w:val="Hyperlink"/>
          </w:rPr>
          <w:t>https://doi.org/10.1016/j.jclepro.2022.135840</w:t>
        </w:r>
      </w:hyperlink>
      <w:r w:rsidRPr="00BF7B72">
        <w:t xml:space="preserve"> </w:t>
      </w:r>
    </w:p>
    <w:p w14:paraId="0C2C9A39" w14:textId="7D636C1A" w:rsidR="00D6261A" w:rsidRPr="00BF7B72" w:rsidRDefault="00E87C81" w:rsidP="00847C86">
      <w:pPr>
        <w:spacing w:after="0"/>
        <w:ind w:left="720" w:hanging="720"/>
        <w:rPr>
          <w:color w:val="EE0000"/>
        </w:rPr>
      </w:pPr>
      <w:r w:rsidRPr="00E826DA">
        <w:t xml:space="preserve">Morris, W., &amp; James, P. (2017). Entrepreneurship and small business management in agriculture: Exploring the role of social media in agricultural enterprises. </w:t>
      </w:r>
      <w:r w:rsidRPr="00E826DA">
        <w:rPr>
          <w:i/>
          <w:iCs/>
        </w:rPr>
        <w:t>Journal of Small Business and Enterprise Development</w:t>
      </w:r>
      <w:r w:rsidRPr="00E826DA">
        <w:t xml:space="preserve">, </w:t>
      </w:r>
      <w:r w:rsidRPr="00E826DA">
        <w:rPr>
          <w:i/>
          <w:iCs/>
        </w:rPr>
        <w:t>24</w:t>
      </w:r>
      <w:r w:rsidRPr="00E826DA">
        <w:t xml:space="preserve">(4), 1028–1045. </w:t>
      </w:r>
      <w:hyperlink r:id="rId14" w:tgtFrame="_blank" w:history="1">
        <w:r w:rsidRPr="00BF7B72">
          <w:rPr>
            <w:rStyle w:val="Hyperlink"/>
          </w:rPr>
          <w:t>https://www.emerald.com/jsbed/article-pdf/24/4/1028/1698503/jsbed-01-2017-0018.pdf</w:t>
        </w:r>
      </w:hyperlink>
    </w:p>
    <w:p w14:paraId="68955EFF" w14:textId="77777777" w:rsidR="00847C86" w:rsidRPr="00BF7B72" w:rsidRDefault="00847C86" w:rsidP="00847C86">
      <w:pPr>
        <w:spacing w:after="0"/>
        <w:ind w:left="720" w:hanging="720"/>
      </w:pPr>
      <w:r w:rsidRPr="00BF7B72">
        <w:t xml:space="preserve">Nekmahmud, M., Naz, F., Ramkissoon, H., &amp; Fekete-Farkas, M. (2022). Transforming consumers’ intention to purchase green products: Role of social media. </w:t>
      </w:r>
      <w:r w:rsidRPr="00BF7B72">
        <w:rPr>
          <w:i/>
          <w:iCs/>
        </w:rPr>
        <w:t>Technological Forecasting and Social Change, 185</w:t>
      </w:r>
      <w:r w:rsidRPr="00BF7B72">
        <w:t xml:space="preserve">, 122067. </w:t>
      </w:r>
      <w:hyperlink r:id="rId15" w:tgtFrame="_new" w:history="1">
        <w:r w:rsidRPr="00BF7B72">
          <w:rPr>
            <w:rStyle w:val="Hyperlink"/>
          </w:rPr>
          <w:t>https://doi.org/10.1016/j.techfore.2022.122067</w:t>
        </w:r>
      </w:hyperlink>
      <w:r w:rsidRPr="00BF7B72">
        <w:t xml:space="preserve"> </w:t>
      </w:r>
    </w:p>
    <w:p w14:paraId="08FE69E3" w14:textId="51D18705" w:rsidR="00C7797D" w:rsidRPr="00BF7B72" w:rsidRDefault="00F16C50" w:rsidP="00847C86">
      <w:pPr>
        <w:spacing w:after="0"/>
        <w:ind w:left="720" w:hanging="720"/>
        <w:rPr>
          <w:color w:val="EE0000"/>
        </w:rPr>
      </w:pPr>
      <w:r w:rsidRPr="00E826DA">
        <w:rPr>
          <w:lang w:val="es-CO"/>
        </w:rPr>
        <w:t xml:space="preserve">Ofori, M., &amp; El-Gayar, O. (2021). </w:t>
      </w:r>
      <w:r w:rsidRPr="00E826DA">
        <w:t xml:space="preserve">Drivers and challenges of precision agriculture: A social media perspective. </w:t>
      </w:r>
      <w:r w:rsidRPr="00E826DA">
        <w:rPr>
          <w:i/>
          <w:iCs/>
        </w:rPr>
        <w:t>Precision Agriculture</w:t>
      </w:r>
      <w:r w:rsidRPr="00E826DA">
        <w:t xml:space="preserve">, </w:t>
      </w:r>
      <w:r w:rsidRPr="00E826DA">
        <w:rPr>
          <w:i/>
          <w:iCs/>
        </w:rPr>
        <w:t>22</w:t>
      </w:r>
      <w:r w:rsidRPr="00E826DA">
        <w:t xml:space="preserve">(3), 1019–1044. </w:t>
      </w:r>
      <w:hyperlink r:id="rId16" w:history="1">
        <w:r w:rsidR="00E826DA" w:rsidRPr="000337E0">
          <w:rPr>
            <w:rStyle w:val="Hyperlink"/>
          </w:rPr>
          <w:t>https://doi.org/10.1007/s11119-020-09760-0</w:t>
        </w:r>
      </w:hyperlink>
    </w:p>
    <w:p w14:paraId="6E87F6E0" w14:textId="4ED62167" w:rsidR="00C7797D" w:rsidRPr="00BF7B72" w:rsidRDefault="00F16C50" w:rsidP="00847C86">
      <w:pPr>
        <w:spacing w:after="0"/>
        <w:ind w:left="720" w:hanging="720"/>
        <w:rPr>
          <w:color w:val="EE0000"/>
        </w:rPr>
      </w:pPr>
      <w:r w:rsidRPr="00E826DA">
        <w:t xml:space="preserve">Ramavhale, P. M., Zwane, E. M., &amp; Belete, A. (2024). The benefits of social media platforms used in agriculture for information dissemination. </w:t>
      </w:r>
      <w:r w:rsidRPr="00E826DA">
        <w:rPr>
          <w:i/>
          <w:iCs/>
        </w:rPr>
        <w:t>South African Journal of Agricultural Extension</w:t>
      </w:r>
      <w:r w:rsidRPr="00E826DA">
        <w:t xml:space="preserve">, </w:t>
      </w:r>
      <w:r w:rsidRPr="00E826DA">
        <w:rPr>
          <w:i/>
          <w:iCs/>
        </w:rPr>
        <w:t>52</w:t>
      </w:r>
      <w:r w:rsidRPr="00E826DA">
        <w:t xml:space="preserve">(2), 77–90. </w:t>
      </w:r>
      <w:hyperlink r:id="rId17" w:tgtFrame="_blank" w:history="1">
        <w:r w:rsidRPr="00BF7B72">
          <w:rPr>
            <w:rStyle w:val="Hyperlink"/>
          </w:rPr>
          <w:t>https://doi.org/10.17159/2413-3221/2024/v52n2a15342</w:t>
        </w:r>
      </w:hyperlink>
    </w:p>
    <w:p w14:paraId="0E3E9FFF" w14:textId="23938CA9" w:rsidR="00847C86" w:rsidRPr="00E826DA" w:rsidRDefault="00847C86" w:rsidP="00847C86">
      <w:pPr>
        <w:spacing w:after="0"/>
        <w:ind w:left="720" w:hanging="720"/>
        <w:rPr>
          <w:lang w:val="es-CO"/>
        </w:rPr>
      </w:pPr>
      <w:r w:rsidRPr="00BF7B72">
        <w:t xml:space="preserve">Republic of Colombia. </w:t>
      </w:r>
      <w:r w:rsidRPr="00E826DA">
        <w:rPr>
          <w:i/>
          <w:iCs/>
          <w:lang w:val="es-CO"/>
        </w:rPr>
        <w:t>Estrategia Nacional Digital de Colombia 2023-2026</w:t>
      </w:r>
      <w:r w:rsidRPr="00E826DA">
        <w:rPr>
          <w:lang w:val="es-CO"/>
        </w:rPr>
        <w:t xml:space="preserve">. </w:t>
      </w:r>
    </w:p>
    <w:p w14:paraId="138CB85B" w14:textId="77777777" w:rsidR="00847C86" w:rsidRPr="00E826DA" w:rsidRDefault="00847C86" w:rsidP="00847C86">
      <w:pPr>
        <w:spacing w:after="0"/>
        <w:ind w:left="720"/>
        <w:rPr>
          <w:lang w:val="es-CO"/>
        </w:rPr>
      </w:pPr>
      <w:hyperlink r:id="rId18" w:history="1">
        <w:r w:rsidRPr="00E826DA">
          <w:rPr>
            <w:rStyle w:val="Hyperlink"/>
            <w:lang w:val="es-CO"/>
          </w:rPr>
          <w:t>https://colaboracion.dnp.gov.co/CDT/Desarrollo%20Digital/EVENTOS/END_Colombia_2023_2026.pdf</w:t>
        </w:r>
      </w:hyperlink>
    </w:p>
    <w:p w14:paraId="121B6CAA" w14:textId="20F04808" w:rsidR="00C7797D" w:rsidRDefault="00076D4E" w:rsidP="00847C86">
      <w:pPr>
        <w:pStyle w:val="Reference"/>
        <w:rPr>
          <w:color w:val="EE0000"/>
        </w:rPr>
      </w:pPr>
      <w:r w:rsidRPr="00E826DA">
        <w:rPr>
          <w:lang w:val="es-CO"/>
        </w:rPr>
        <w:t xml:space="preserve">Yadav, J., Yadav, A., Misra, M., Rana, N. P., &amp; Zhou, J. (2023). </w:t>
      </w:r>
      <w:r w:rsidRPr="00E826DA">
        <w:t xml:space="preserve">Role of social media in technology adoption for sustainable agriculture practices: Evidence from Twitter analytics. </w:t>
      </w:r>
      <w:r w:rsidRPr="00E826DA">
        <w:rPr>
          <w:i/>
          <w:iCs/>
        </w:rPr>
        <w:t>Communications of the Association for Information Systems</w:t>
      </w:r>
      <w:r w:rsidRPr="00E826DA">
        <w:t xml:space="preserve">, </w:t>
      </w:r>
      <w:r w:rsidRPr="00E826DA">
        <w:rPr>
          <w:i/>
          <w:iCs/>
        </w:rPr>
        <w:t>52</w:t>
      </w:r>
      <w:r w:rsidRPr="00E826DA">
        <w:t xml:space="preserve">, </w:t>
      </w:r>
      <w:r w:rsidR="00E826DA">
        <w:t>a</w:t>
      </w:r>
      <w:r w:rsidRPr="00E826DA">
        <w:t xml:space="preserve">rticle 40. </w:t>
      </w:r>
      <w:hyperlink r:id="rId19" w:tgtFrame="_blank" w:history="1">
        <w:r w:rsidRPr="00076D4E">
          <w:rPr>
            <w:rStyle w:val="Hyperlink"/>
          </w:rPr>
          <w:t>https://doi.org/10.17705/1CAIS.05240</w:t>
        </w:r>
      </w:hyperlink>
    </w:p>
    <w:p w14:paraId="1D92AF9C" w14:textId="77777777" w:rsidR="00076D4E" w:rsidRPr="00C7797D" w:rsidRDefault="00076D4E" w:rsidP="00847C86">
      <w:pPr>
        <w:pStyle w:val="Reference"/>
        <w:rPr>
          <w:color w:val="EE0000"/>
        </w:rPr>
      </w:pPr>
    </w:p>
    <w:p w14:paraId="5FEFAEE1" w14:textId="624C0642" w:rsidR="00CC7DDD" w:rsidRPr="00C21EDE" w:rsidRDefault="00CC7DDD" w:rsidP="00C21EDE"/>
    <w:sectPr w:rsidR="00CC7DDD" w:rsidRPr="00C21EDE" w:rsidSect="00C21EDE">
      <w:headerReference w:type="default" r:id="rId20"/>
      <w:footerReference w:type="first" r:id="rId21"/>
      <w:pgSz w:w="12240" w:h="15840"/>
      <w:pgMar w:top="1440" w:right="1440" w:bottom="1440" w:left="1440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D9FD4BE" w14:textId="77777777" w:rsidR="00114B50" w:rsidRDefault="00114B50">
      <w:r>
        <w:separator/>
      </w:r>
    </w:p>
  </w:endnote>
  <w:endnote w:type="continuationSeparator" w:id="0">
    <w:p w14:paraId="2647B186" w14:textId="77777777" w:rsidR="00114B50" w:rsidRDefault="00114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7018182" w14:textId="2BE8AF49" w:rsidR="00C21EDE" w:rsidRDefault="00C21EDE" w:rsidP="00C21EDE">
    <w:pPr>
      <w:pStyle w:val="Footer"/>
    </w:pP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8D18DD4" w14:textId="77777777" w:rsidR="00114B50" w:rsidRDefault="00114B50">
      <w:r>
        <w:separator/>
      </w:r>
    </w:p>
  </w:footnote>
  <w:footnote w:type="continuationSeparator" w:id="0">
    <w:p w14:paraId="65375081" w14:textId="77777777" w:rsidR="00114B50" w:rsidRDefault="00114B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166142299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2E70373" w14:textId="433A99A4" w:rsidR="001329B4" w:rsidRDefault="001329B4">
        <w:pPr>
          <w:pStyle w:val="Header"/>
          <w:jc w:val="right"/>
        </w:pPr>
        <w:r>
          <w:t>Research</w:t>
        </w:r>
      </w:p>
    </w:sdtContent>
  </w:sdt>
  <w:p w14:paraId="404289A7" w14:textId="77777777" w:rsidR="001329B4" w:rsidRDefault="001329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9D63718"/>
    <w:multiLevelType w:val="hybridMultilevel"/>
    <w:tmpl w:val="3EB891E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755E5F"/>
    <w:multiLevelType w:val="multilevel"/>
    <w:tmpl w:val="35E64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6562D62"/>
    <w:multiLevelType w:val="multilevel"/>
    <w:tmpl w:val="87A40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19055255">
    <w:abstractNumId w:val="1"/>
  </w:num>
  <w:num w:numId="2" w16cid:durableId="945774125">
    <w:abstractNumId w:val="0"/>
  </w:num>
  <w:num w:numId="3" w16cid:durableId="1975670872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hideSpellingErrors/>
  <w:hideGrammaticalError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2E69"/>
    <w:rsid w:val="00017910"/>
    <w:rsid w:val="00020E2C"/>
    <w:rsid w:val="00020FA8"/>
    <w:rsid w:val="000312A0"/>
    <w:rsid w:val="000349CE"/>
    <w:rsid w:val="00036065"/>
    <w:rsid w:val="00044190"/>
    <w:rsid w:val="00066BED"/>
    <w:rsid w:val="00071E07"/>
    <w:rsid w:val="00076D4E"/>
    <w:rsid w:val="000849FA"/>
    <w:rsid w:val="00090FFB"/>
    <w:rsid w:val="00091CC6"/>
    <w:rsid w:val="00092895"/>
    <w:rsid w:val="00097D59"/>
    <w:rsid w:val="000A061E"/>
    <w:rsid w:val="000A0E5E"/>
    <w:rsid w:val="000A3126"/>
    <w:rsid w:val="000A5ACF"/>
    <w:rsid w:val="000B475B"/>
    <w:rsid w:val="000D08D2"/>
    <w:rsid w:val="000D43D6"/>
    <w:rsid w:val="000E2DA5"/>
    <w:rsid w:val="000E34BB"/>
    <w:rsid w:val="001008D8"/>
    <w:rsid w:val="00114B50"/>
    <w:rsid w:val="00117FCE"/>
    <w:rsid w:val="001329B4"/>
    <w:rsid w:val="0013568D"/>
    <w:rsid w:val="00143966"/>
    <w:rsid w:val="00145CBE"/>
    <w:rsid w:val="00146058"/>
    <w:rsid w:val="001550E0"/>
    <w:rsid w:val="00156EC2"/>
    <w:rsid w:val="00160929"/>
    <w:rsid w:val="00170360"/>
    <w:rsid w:val="0017228F"/>
    <w:rsid w:val="001864C0"/>
    <w:rsid w:val="00194A45"/>
    <w:rsid w:val="001A0B6A"/>
    <w:rsid w:val="001C2FE0"/>
    <w:rsid w:val="001C7075"/>
    <w:rsid w:val="001E0608"/>
    <w:rsid w:val="001E11AD"/>
    <w:rsid w:val="001F2A74"/>
    <w:rsid w:val="001F5F6F"/>
    <w:rsid w:val="00202FF5"/>
    <w:rsid w:val="002119B3"/>
    <w:rsid w:val="002126B6"/>
    <w:rsid w:val="0021322F"/>
    <w:rsid w:val="00215974"/>
    <w:rsid w:val="0022064B"/>
    <w:rsid w:val="00235208"/>
    <w:rsid w:val="00235CE9"/>
    <w:rsid w:val="002512C8"/>
    <w:rsid w:val="0026089F"/>
    <w:rsid w:val="0026163A"/>
    <w:rsid w:val="00261A8E"/>
    <w:rsid w:val="002651E3"/>
    <w:rsid w:val="002728AA"/>
    <w:rsid w:val="002728C2"/>
    <w:rsid w:val="00292824"/>
    <w:rsid w:val="00294B07"/>
    <w:rsid w:val="0029798E"/>
    <w:rsid w:val="002A3C44"/>
    <w:rsid w:val="002A5FAF"/>
    <w:rsid w:val="002A72EA"/>
    <w:rsid w:val="002B1DC7"/>
    <w:rsid w:val="002B310C"/>
    <w:rsid w:val="002C566B"/>
    <w:rsid w:val="002D18D7"/>
    <w:rsid w:val="002D20F2"/>
    <w:rsid w:val="002F0AB5"/>
    <w:rsid w:val="002F0C1E"/>
    <w:rsid w:val="002F20B6"/>
    <w:rsid w:val="002F3218"/>
    <w:rsid w:val="003056A9"/>
    <w:rsid w:val="00315F61"/>
    <w:rsid w:val="00320A07"/>
    <w:rsid w:val="00325BD8"/>
    <w:rsid w:val="003359DA"/>
    <w:rsid w:val="00335BB0"/>
    <w:rsid w:val="0035286C"/>
    <w:rsid w:val="00373109"/>
    <w:rsid w:val="003815D3"/>
    <w:rsid w:val="00383C56"/>
    <w:rsid w:val="00390EF5"/>
    <w:rsid w:val="003968CE"/>
    <w:rsid w:val="003B6CF4"/>
    <w:rsid w:val="003D2E69"/>
    <w:rsid w:val="003E4D70"/>
    <w:rsid w:val="003E5113"/>
    <w:rsid w:val="003F64A5"/>
    <w:rsid w:val="00410B34"/>
    <w:rsid w:val="004304FF"/>
    <w:rsid w:val="00430575"/>
    <w:rsid w:val="004333E7"/>
    <w:rsid w:val="004345CB"/>
    <w:rsid w:val="004463FF"/>
    <w:rsid w:val="0045566C"/>
    <w:rsid w:val="0046558A"/>
    <w:rsid w:val="00470611"/>
    <w:rsid w:val="00471BA3"/>
    <w:rsid w:val="00473BFD"/>
    <w:rsid w:val="00474953"/>
    <w:rsid w:val="00476ACF"/>
    <w:rsid w:val="0049395B"/>
    <w:rsid w:val="004A3FF5"/>
    <w:rsid w:val="004A58F8"/>
    <w:rsid w:val="004B2162"/>
    <w:rsid w:val="004C65E0"/>
    <w:rsid w:val="004D0708"/>
    <w:rsid w:val="004D4F20"/>
    <w:rsid w:val="004E0596"/>
    <w:rsid w:val="004E6E42"/>
    <w:rsid w:val="00506887"/>
    <w:rsid w:val="0051188F"/>
    <w:rsid w:val="00512BFC"/>
    <w:rsid w:val="00521B76"/>
    <w:rsid w:val="00527D65"/>
    <w:rsid w:val="00535133"/>
    <w:rsid w:val="00557D4C"/>
    <w:rsid w:val="005622D6"/>
    <w:rsid w:val="00570334"/>
    <w:rsid w:val="00570E65"/>
    <w:rsid w:val="0059040F"/>
    <w:rsid w:val="00592216"/>
    <w:rsid w:val="00594477"/>
    <w:rsid w:val="005A6724"/>
    <w:rsid w:val="005B3ECB"/>
    <w:rsid w:val="005C1548"/>
    <w:rsid w:val="005C73F3"/>
    <w:rsid w:val="005D662B"/>
    <w:rsid w:val="005E56D0"/>
    <w:rsid w:val="00616C6F"/>
    <w:rsid w:val="00621308"/>
    <w:rsid w:val="00623B6B"/>
    <w:rsid w:val="00626B83"/>
    <w:rsid w:val="00633A3B"/>
    <w:rsid w:val="00644548"/>
    <w:rsid w:val="00663600"/>
    <w:rsid w:val="00670A33"/>
    <w:rsid w:val="006801DB"/>
    <w:rsid w:val="00681B27"/>
    <w:rsid w:val="00686F05"/>
    <w:rsid w:val="006904F2"/>
    <w:rsid w:val="00692078"/>
    <w:rsid w:val="00693BAA"/>
    <w:rsid w:val="006945AA"/>
    <w:rsid w:val="006970CF"/>
    <w:rsid w:val="006977CA"/>
    <w:rsid w:val="006B1788"/>
    <w:rsid w:val="006B2AFB"/>
    <w:rsid w:val="006C083C"/>
    <w:rsid w:val="006D270A"/>
    <w:rsid w:val="006D3E96"/>
    <w:rsid w:val="006E06FA"/>
    <w:rsid w:val="006E53D2"/>
    <w:rsid w:val="00712A6E"/>
    <w:rsid w:val="00722504"/>
    <w:rsid w:val="00724718"/>
    <w:rsid w:val="007265A2"/>
    <w:rsid w:val="00753332"/>
    <w:rsid w:val="007619C1"/>
    <w:rsid w:val="00787507"/>
    <w:rsid w:val="00797850"/>
    <w:rsid w:val="007A3D41"/>
    <w:rsid w:val="007B0D93"/>
    <w:rsid w:val="007B48DC"/>
    <w:rsid w:val="007B6872"/>
    <w:rsid w:val="007C3250"/>
    <w:rsid w:val="007D42B0"/>
    <w:rsid w:val="007D4E57"/>
    <w:rsid w:val="007D56C2"/>
    <w:rsid w:val="007E4C88"/>
    <w:rsid w:val="00813ACE"/>
    <w:rsid w:val="00813B04"/>
    <w:rsid w:val="00825ABD"/>
    <w:rsid w:val="00826B19"/>
    <w:rsid w:val="008338D1"/>
    <w:rsid w:val="00846BD2"/>
    <w:rsid w:val="00847C86"/>
    <w:rsid w:val="00851C3F"/>
    <w:rsid w:val="008553D2"/>
    <w:rsid w:val="008621E8"/>
    <w:rsid w:val="0087534C"/>
    <w:rsid w:val="008857ED"/>
    <w:rsid w:val="008A3E7F"/>
    <w:rsid w:val="008B4BC0"/>
    <w:rsid w:val="008C068B"/>
    <w:rsid w:val="008D4898"/>
    <w:rsid w:val="008D6349"/>
    <w:rsid w:val="008F3A0D"/>
    <w:rsid w:val="008F5879"/>
    <w:rsid w:val="00910AA7"/>
    <w:rsid w:val="00917E43"/>
    <w:rsid w:val="00925B03"/>
    <w:rsid w:val="00930B44"/>
    <w:rsid w:val="00934AF5"/>
    <w:rsid w:val="009369C5"/>
    <w:rsid w:val="0096007B"/>
    <w:rsid w:val="009673EB"/>
    <w:rsid w:val="00967854"/>
    <w:rsid w:val="00980524"/>
    <w:rsid w:val="009A6CD3"/>
    <w:rsid w:val="009B2B7D"/>
    <w:rsid w:val="009B67C1"/>
    <w:rsid w:val="009C079F"/>
    <w:rsid w:val="009E5FFB"/>
    <w:rsid w:val="009E6191"/>
    <w:rsid w:val="009F63F7"/>
    <w:rsid w:val="00A01E16"/>
    <w:rsid w:val="00A020A3"/>
    <w:rsid w:val="00A1634D"/>
    <w:rsid w:val="00A247B8"/>
    <w:rsid w:val="00A2750C"/>
    <w:rsid w:val="00A37452"/>
    <w:rsid w:val="00A467ED"/>
    <w:rsid w:val="00A608CB"/>
    <w:rsid w:val="00A6335C"/>
    <w:rsid w:val="00A80752"/>
    <w:rsid w:val="00A812FD"/>
    <w:rsid w:val="00A906A8"/>
    <w:rsid w:val="00AA2CEA"/>
    <w:rsid w:val="00AA6A40"/>
    <w:rsid w:val="00AC00B6"/>
    <w:rsid w:val="00AE0E11"/>
    <w:rsid w:val="00AE4A03"/>
    <w:rsid w:val="00AE7AED"/>
    <w:rsid w:val="00B1573F"/>
    <w:rsid w:val="00B27CC4"/>
    <w:rsid w:val="00B33D24"/>
    <w:rsid w:val="00B50EA2"/>
    <w:rsid w:val="00B51ECF"/>
    <w:rsid w:val="00B56287"/>
    <w:rsid w:val="00B6745A"/>
    <w:rsid w:val="00B67B40"/>
    <w:rsid w:val="00B70F9D"/>
    <w:rsid w:val="00B716A1"/>
    <w:rsid w:val="00B90286"/>
    <w:rsid w:val="00B9058C"/>
    <w:rsid w:val="00B918DE"/>
    <w:rsid w:val="00B9226D"/>
    <w:rsid w:val="00B936FB"/>
    <w:rsid w:val="00BB4685"/>
    <w:rsid w:val="00BC1DC0"/>
    <w:rsid w:val="00BD5A72"/>
    <w:rsid w:val="00BD678E"/>
    <w:rsid w:val="00BD7D76"/>
    <w:rsid w:val="00BE0CDC"/>
    <w:rsid w:val="00BF1177"/>
    <w:rsid w:val="00BF7B72"/>
    <w:rsid w:val="00C00CBC"/>
    <w:rsid w:val="00C00E8B"/>
    <w:rsid w:val="00C147FE"/>
    <w:rsid w:val="00C16089"/>
    <w:rsid w:val="00C21EDE"/>
    <w:rsid w:val="00C227B4"/>
    <w:rsid w:val="00C4058D"/>
    <w:rsid w:val="00C542AA"/>
    <w:rsid w:val="00C62451"/>
    <w:rsid w:val="00C71297"/>
    <w:rsid w:val="00C74A5F"/>
    <w:rsid w:val="00C7797D"/>
    <w:rsid w:val="00C942B9"/>
    <w:rsid w:val="00C97CE9"/>
    <w:rsid w:val="00CA0CA3"/>
    <w:rsid w:val="00CA753B"/>
    <w:rsid w:val="00CB0ADD"/>
    <w:rsid w:val="00CC7730"/>
    <w:rsid w:val="00CC7DDD"/>
    <w:rsid w:val="00CE1FED"/>
    <w:rsid w:val="00CE496A"/>
    <w:rsid w:val="00CE4BDD"/>
    <w:rsid w:val="00CF4C57"/>
    <w:rsid w:val="00CF6484"/>
    <w:rsid w:val="00D0763A"/>
    <w:rsid w:val="00D150D6"/>
    <w:rsid w:val="00D314CC"/>
    <w:rsid w:val="00D347B7"/>
    <w:rsid w:val="00D41732"/>
    <w:rsid w:val="00D42CDA"/>
    <w:rsid w:val="00D475D3"/>
    <w:rsid w:val="00D6261A"/>
    <w:rsid w:val="00D62A7D"/>
    <w:rsid w:val="00D66048"/>
    <w:rsid w:val="00D72DA6"/>
    <w:rsid w:val="00D750B9"/>
    <w:rsid w:val="00D8088B"/>
    <w:rsid w:val="00D900F4"/>
    <w:rsid w:val="00D90157"/>
    <w:rsid w:val="00D92EE3"/>
    <w:rsid w:val="00D97A9F"/>
    <w:rsid w:val="00DA3F93"/>
    <w:rsid w:val="00DA4E83"/>
    <w:rsid w:val="00DC3E20"/>
    <w:rsid w:val="00DD2CB7"/>
    <w:rsid w:val="00DD69C4"/>
    <w:rsid w:val="00DE0140"/>
    <w:rsid w:val="00E02F40"/>
    <w:rsid w:val="00E24618"/>
    <w:rsid w:val="00E24F96"/>
    <w:rsid w:val="00E3242D"/>
    <w:rsid w:val="00E35614"/>
    <w:rsid w:val="00E47ED7"/>
    <w:rsid w:val="00E60BAF"/>
    <w:rsid w:val="00E7015C"/>
    <w:rsid w:val="00E74533"/>
    <w:rsid w:val="00E826DA"/>
    <w:rsid w:val="00E848F7"/>
    <w:rsid w:val="00E864C3"/>
    <w:rsid w:val="00E87C81"/>
    <w:rsid w:val="00E92474"/>
    <w:rsid w:val="00E945AE"/>
    <w:rsid w:val="00E94DA7"/>
    <w:rsid w:val="00E97462"/>
    <w:rsid w:val="00EA4C73"/>
    <w:rsid w:val="00EA6AA2"/>
    <w:rsid w:val="00EB3BA0"/>
    <w:rsid w:val="00EB52C4"/>
    <w:rsid w:val="00EB5D6E"/>
    <w:rsid w:val="00EB6221"/>
    <w:rsid w:val="00ED513D"/>
    <w:rsid w:val="00EE4783"/>
    <w:rsid w:val="00F02D52"/>
    <w:rsid w:val="00F065C0"/>
    <w:rsid w:val="00F13293"/>
    <w:rsid w:val="00F16C50"/>
    <w:rsid w:val="00F454A0"/>
    <w:rsid w:val="00F5288C"/>
    <w:rsid w:val="00F5673A"/>
    <w:rsid w:val="00F56786"/>
    <w:rsid w:val="00F60283"/>
    <w:rsid w:val="00F60A46"/>
    <w:rsid w:val="00F85A55"/>
    <w:rsid w:val="00F85C12"/>
    <w:rsid w:val="00F8723A"/>
    <w:rsid w:val="00FA0332"/>
    <w:rsid w:val="00FB35A0"/>
    <w:rsid w:val="00FD60DF"/>
    <w:rsid w:val="00FD62BF"/>
    <w:rsid w:val="00FE01C3"/>
    <w:rsid w:val="00FE095D"/>
    <w:rsid w:val="00FE5914"/>
    <w:rsid w:val="00FF187E"/>
    <w:rsid w:val="00FF3EC2"/>
    <w:rsid w:val="2C988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190EDF"/>
  <w15:docId w15:val="{F3EE10A5-5197-4E9F-892D-B4D0567A3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FF5"/>
    <w:pPr>
      <w:spacing w:after="240"/>
    </w:pPr>
  </w:style>
  <w:style w:type="paragraph" w:styleId="Heading1">
    <w:name w:val="heading 1"/>
    <w:basedOn w:val="Normal"/>
    <w:next w:val="Normal"/>
    <w:link w:val="Heading1Char"/>
    <w:uiPriority w:val="9"/>
    <w:qFormat/>
    <w:rsid w:val="00724718"/>
    <w:pPr>
      <w:keepNext/>
      <w:spacing w:after="120"/>
      <w:ind w:firstLine="0"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outlineLvl w:val="1"/>
    </w:pPr>
    <w:rPr>
      <w:b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outlineLvl w:val="2"/>
    </w:p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40"/>
      <w:outlineLvl w:val="4"/>
    </w:pPr>
    <w:rPr>
      <w:rFonts w:ascii="Cambria" w:eastAsia="Cambria" w:hAnsi="Cambria" w:cs="Cambria"/>
      <w:color w:val="36609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673EB"/>
    <w:pPr>
      <w:ind w:firstLine="0"/>
      <w:jc w:val="center"/>
    </w:pPr>
    <w:rPr>
      <w:b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A2750C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A2750C"/>
    <w:rPr>
      <w:color w:val="0000FF"/>
      <w:u w:val="single"/>
    </w:rPr>
  </w:style>
  <w:style w:type="paragraph" w:customStyle="1" w:styleId="Reference">
    <w:name w:val="Reference"/>
    <w:basedOn w:val="Normal"/>
    <w:link w:val="ReferenceChar"/>
    <w:qFormat/>
    <w:rsid w:val="00A6335C"/>
    <w:pPr>
      <w:ind w:left="720" w:hanging="720"/>
    </w:pPr>
  </w:style>
  <w:style w:type="character" w:customStyle="1" w:styleId="ReferenceChar">
    <w:name w:val="Reference Char"/>
    <w:basedOn w:val="DefaultParagraphFont"/>
    <w:link w:val="Reference"/>
    <w:rsid w:val="00A6335C"/>
  </w:style>
  <w:style w:type="table" w:styleId="TableGrid">
    <w:name w:val="Table Grid"/>
    <w:basedOn w:val="TableNormal"/>
    <w:uiPriority w:val="39"/>
    <w:rsid w:val="004556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fListing">
    <w:name w:val="Ref Listing"/>
    <w:basedOn w:val="Normal"/>
    <w:qFormat/>
    <w:rsid w:val="00117FCE"/>
    <w:pPr>
      <w:widowControl w:val="0"/>
      <w:tabs>
        <w:tab w:val="center" w:pos="2400"/>
        <w:tab w:val="right" w:pos="4800"/>
        <w:tab w:val="center" w:pos="4920"/>
        <w:tab w:val="right" w:pos="9840"/>
      </w:tabs>
      <w:spacing w:before="60" w:after="160" w:line="200" w:lineRule="atLeast"/>
      <w:ind w:left="240" w:hanging="240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E4D7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4D70"/>
  </w:style>
  <w:style w:type="paragraph" w:styleId="Footer">
    <w:name w:val="footer"/>
    <w:basedOn w:val="Normal"/>
    <w:link w:val="FooterChar"/>
    <w:uiPriority w:val="99"/>
    <w:unhideWhenUsed/>
    <w:rsid w:val="003E4D7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4D70"/>
  </w:style>
  <w:style w:type="character" w:styleId="UnresolvedMention">
    <w:name w:val="Unresolved Mention"/>
    <w:basedOn w:val="DefaultParagraphFont"/>
    <w:uiPriority w:val="99"/>
    <w:semiHidden/>
    <w:unhideWhenUsed/>
    <w:rsid w:val="00202FF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B475B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EA6AA2"/>
    <w:pPr>
      <w:ind w:firstLine="0"/>
    </w:pPr>
  </w:style>
  <w:style w:type="paragraph" w:styleId="Revision">
    <w:name w:val="Revision"/>
    <w:hidden/>
    <w:uiPriority w:val="99"/>
    <w:semiHidden/>
    <w:rsid w:val="009C079F"/>
    <w:pPr>
      <w:ind w:firstLine="0"/>
    </w:pPr>
  </w:style>
  <w:style w:type="character" w:styleId="Emphasis">
    <w:name w:val="Emphasis"/>
    <w:basedOn w:val="DefaultParagraphFont"/>
    <w:uiPriority w:val="20"/>
    <w:qFormat/>
    <w:rsid w:val="00663600"/>
    <w:rPr>
      <w:i/>
      <w:iCs/>
    </w:r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normaltextrun">
    <w:name w:val="normaltextrun"/>
    <w:basedOn w:val="DefaultParagraphFont"/>
    <w:rsid w:val="00BB468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12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12FD"/>
    <w:rPr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1"/>
    <w:qFormat/>
    <w:rsid w:val="00474953"/>
    <w:pPr>
      <w:widowControl w:val="0"/>
      <w:autoSpaceDE w:val="0"/>
      <w:autoSpaceDN w:val="0"/>
    </w:pPr>
  </w:style>
  <w:style w:type="character" w:customStyle="1" w:styleId="BodyTextChar">
    <w:name w:val="Body Text Char"/>
    <w:basedOn w:val="DefaultParagraphFont"/>
    <w:link w:val="BodyText"/>
    <w:uiPriority w:val="1"/>
    <w:rsid w:val="00474953"/>
  </w:style>
  <w:style w:type="paragraph" w:customStyle="1" w:styleId="TableHeading">
    <w:name w:val="Table Heading"/>
    <w:basedOn w:val="Normal"/>
    <w:link w:val="TableHeadingChar"/>
    <w:qFormat/>
    <w:rsid w:val="00570334"/>
    <w:pPr>
      <w:spacing w:after="0"/>
      <w:ind w:firstLine="0"/>
    </w:pPr>
    <w:rPr>
      <w:i/>
    </w:rPr>
  </w:style>
  <w:style w:type="character" w:customStyle="1" w:styleId="TableHeadingChar">
    <w:name w:val="Table Heading Char"/>
    <w:basedOn w:val="DefaultParagraphFont"/>
    <w:link w:val="TableHeading"/>
    <w:rsid w:val="00570334"/>
    <w:rPr>
      <w:i/>
    </w:rPr>
  </w:style>
  <w:style w:type="paragraph" w:customStyle="1" w:styleId="Note-Table">
    <w:name w:val="Note-Table"/>
    <w:basedOn w:val="Normal"/>
    <w:link w:val="Note-TableChar"/>
    <w:qFormat/>
    <w:rsid w:val="00724718"/>
    <w:pPr>
      <w:ind w:firstLine="0"/>
    </w:pPr>
  </w:style>
  <w:style w:type="character" w:customStyle="1" w:styleId="Note-TableChar">
    <w:name w:val="Note-Table Char"/>
    <w:basedOn w:val="DefaultParagraphFont"/>
    <w:link w:val="Note-Table"/>
    <w:rsid w:val="00724718"/>
  </w:style>
  <w:style w:type="character" w:customStyle="1" w:styleId="TitleChar">
    <w:name w:val="Title Char"/>
    <w:basedOn w:val="DefaultParagraphFont"/>
    <w:link w:val="Title"/>
    <w:uiPriority w:val="10"/>
    <w:rsid w:val="009673EB"/>
    <w:rPr>
      <w:b/>
    </w:rPr>
  </w:style>
  <w:style w:type="character" w:customStyle="1" w:styleId="Heading1Char">
    <w:name w:val="Heading 1 Char"/>
    <w:basedOn w:val="DefaultParagraphFont"/>
    <w:link w:val="Heading1"/>
    <w:uiPriority w:val="9"/>
    <w:rsid w:val="00724718"/>
    <w:rPr>
      <w:b/>
    </w:rPr>
  </w:style>
  <w:style w:type="paragraph" w:customStyle="1" w:styleId="Authors">
    <w:name w:val="Authors"/>
    <w:basedOn w:val="NoSpacing"/>
    <w:link w:val="AuthorsChar"/>
    <w:qFormat/>
    <w:rsid w:val="002B1DC7"/>
    <w:pPr>
      <w:jc w:val="center"/>
    </w:pPr>
  </w:style>
  <w:style w:type="character" w:customStyle="1" w:styleId="NoSpacingChar">
    <w:name w:val="No Spacing Char"/>
    <w:basedOn w:val="DefaultParagraphFont"/>
    <w:link w:val="NoSpacing"/>
    <w:uiPriority w:val="1"/>
    <w:rsid w:val="002B1DC7"/>
  </w:style>
  <w:style w:type="character" w:customStyle="1" w:styleId="AuthorsChar">
    <w:name w:val="Authors Char"/>
    <w:basedOn w:val="NoSpacingChar"/>
    <w:link w:val="Authors"/>
    <w:rsid w:val="002B1DC7"/>
  </w:style>
  <w:style w:type="table" w:customStyle="1" w:styleId="APA">
    <w:name w:val="APA"/>
    <w:basedOn w:val="TableNormal"/>
    <w:uiPriority w:val="99"/>
    <w:rsid w:val="009673EB"/>
    <w:pPr>
      <w:ind w:firstLine="0"/>
      <w:jc w:val="right"/>
    </w:pPr>
    <w:tblPr>
      <w:jc w:val="center"/>
      <w:tblBorders>
        <w:bottom w:val="single" w:sz="4" w:space="0" w:color="auto"/>
      </w:tblBorders>
    </w:tblPr>
    <w:trPr>
      <w:jc w:val="center"/>
    </w:trPr>
    <w:tblStylePr w:type="firstRow">
      <w:tblPr/>
      <w:tcPr>
        <w:tcBorders>
          <w:top w:val="single" w:sz="4" w:space="0" w:color="auto"/>
          <w:bottom w:val="single" w:sz="4" w:space="0" w:color="auto"/>
        </w:tcBorders>
      </w:tcPr>
    </w:tblStylePr>
    <w:tblStylePr w:type="lastRow">
      <w:tblPr/>
      <w:tcPr>
        <w:tcBorders>
          <w:bottom w:val="single" w:sz="4" w:space="0" w:color="auto"/>
        </w:tcBorders>
        <w:shd w:val="clear" w:color="auto" w:fill="FFFFFF" w:themeFill="background1"/>
      </w:tcPr>
    </w:tblStylePr>
    <w:tblStylePr w:type="firstCol">
      <w:pPr>
        <w:jc w:val="left"/>
      </w:pPr>
    </w:tblStylePr>
  </w:style>
  <w:style w:type="character" w:customStyle="1" w:styleId="Heading6Char">
    <w:name w:val="Heading 6 Char"/>
    <w:basedOn w:val="DefaultParagraphFont"/>
    <w:link w:val="Heading6"/>
    <w:uiPriority w:val="9"/>
    <w:semiHidden/>
    <w:rsid w:val="00847C86"/>
    <w:rPr>
      <w:b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94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4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fael.q@ag.tamu.edu" TargetMode="External"/><Relationship Id="rId13" Type="http://schemas.openxmlformats.org/officeDocument/2006/relationships/hyperlink" Target="https://doi.org/10.1016/j.jclepro.2022.135840" TargetMode="External"/><Relationship Id="rId18" Type="http://schemas.openxmlformats.org/officeDocument/2006/relationships/hyperlink" Target="https://colaboracion.dnp.gov.co/CDT/Desarrollo%20Digital/EVENTOS/END_Colombia_2023_2026.pdf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mailto:elizabeth.tabaresvil@ag.tamu.edu" TargetMode="External"/><Relationship Id="rId12" Type="http://schemas.openxmlformats.org/officeDocument/2006/relationships/hyperlink" Target="https://urldefense.com/v3/__https:/doi.org/10.1155/2022/9258317__;!!KwNVnqRv!EH86C-oautDYQKJLGRKP40oxNRFl_LXKt-9lowbLFbGuL6YfMhwBHhEWbUZffuwQCzejh4tZcqato_Ou2uAw1QIjMyABo9HegEz1$" TargetMode="External"/><Relationship Id="rId17" Type="http://schemas.openxmlformats.org/officeDocument/2006/relationships/hyperlink" Target="https://doi.org/10.17159/2413-3221/2024/v52n2a15342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1007/s11119-020-09760-0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146/annurev-economics-080218-030419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i.org/10.1016/j.techfore.2022.122067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ijmra.us" TargetMode="External"/><Relationship Id="rId19" Type="http://schemas.openxmlformats.org/officeDocument/2006/relationships/hyperlink" Target="https://doi.org/10.17705/1CAIS.0524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yperlink" Target="https://www.emerald.com/jsbed/article-pdf/24/4/1028/1698503/jsbed-01-2017-0018.pd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1387</Words>
  <Characters>7909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Quijada Landaverde, Rafael Antonio</dc:creator>
  <cp:lastModifiedBy>Quijada Landaverde, Rafael Antonio</cp:lastModifiedBy>
  <cp:revision>2</cp:revision>
  <dcterms:created xsi:type="dcterms:W3CDTF">2026-08-27T05:17:00Z</dcterms:created>
  <dcterms:modified xsi:type="dcterms:W3CDTF">2026-08-27T05:17:00Z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15648cf81b03a82f0d5d134652f5f4f185cd3480bc059c5d99dd670538eb392c</vt:lpwstr>
  </property>
</Properties>
</file>