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A4AD4E" w14:textId="77777777" w:rsidR="00863135" w:rsidRDefault="00863135" w:rsidP="00863135">
      <w:pPr>
        <w:spacing w:after="240" w:line="480" w:lineRule="auto"/>
        <w:jc w:val="center"/>
        <w:rPr>
          <w:b/>
          <w:bCs/>
          <w:sz w:val="24"/>
          <w:szCs w:val="24"/>
        </w:rPr>
      </w:pPr>
    </w:p>
    <w:p w14:paraId="01650A6F" w14:textId="77777777" w:rsidR="00863135" w:rsidRDefault="00863135" w:rsidP="00863135">
      <w:pPr>
        <w:spacing w:line="480" w:lineRule="auto"/>
        <w:jc w:val="center"/>
        <w:rPr>
          <w:b/>
          <w:bCs/>
          <w:sz w:val="24"/>
          <w:szCs w:val="24"/>
        </w:rPr>
      </w:pPr>
    </w:p>
    <w:p w14:paraId="78980914" w14:textId="77777777" w:rsidR="00863135" w:rsidRDefault="00863135" w:rsidP="00863135">
      <w:pPr>
        <w:spacing w:line="480" w:lineRule="auto"/>
        <w:jc w:val="center"/>
        <w:rPr>
          <w:b/>
          <w:bCs/>
          <w:sz w:val="24"/>
          <w:szCs w:val="24"/>
        </w:rPr>
      </w:pPr>
    </w:p>
    <w:p w14:paraId="74AB72CA" w14:textId="77777777" w:rsidR="00863135" w:rsidRDefault="00863135" w:rsidP="00863135">
      <w:pPr>
        <w:spacing w:line="480" w:lineRule="auto"/>
        <w:jc w:val="center"/>
        <w:rPr>
          <w:b/>
          <w:bCs/>
          <w:sz w:val="24"/>
          <w:szCs w:val="24"/>
        </w:rPr>
      </w:pPr>
    </w:p>
    <w:p w14:paraId="1DF1CC81" w14:textId="77777777" w:rsidR="00863135" w:rsidRDefault="00863135" w:rsidP="00863135">
      <w:pPr>
        <w:spacing w:line="480" w:lineRule="auto"/>
        <w:jc w:val="center"/>
        <w:rPr>
          <w:b/>
          <w:bCs/>
          <w:sz w:val="24"/>
          <w:szCs w:val="24"/>
        </w:rPr>
      </w:pPr>
    </w:p>
    <w:p w14:paraId="7FE57FD5" w14:textId="1B055905" w:rsidR="00863135" w:rsidRDefault="00863135" w:rsidP="00863135">
      <w:pPr>
        <w:spacing w:line="480" w:lineRule="auto"/>
        <w:jc w:val="center"/>
        <w:rPr>
          <w:b/>
          <w:bCs/>
          <w:sz w:val="24"/>
          <w:szCs w:val="24"/>
        </w:rPr>
      </w:pPr>
      <w:r w:rsidRPr="00863135">
        <w:rPr>
          <w:b/>
          <w:bCs/>
          <w:sz w:val="24"/>
          <w:szCs w:val="24"/>
        </w:rPr>
        <w:t xml:space="preserve">Beyond the Points: A Holistic, Progress-Based Grading and Attendance Model for </w:t>
      </w:r>
      <w:proofErr w:type="gramStart"/>
      <w:r w:rsidRPr="00863135">
        <w:rPr>
          <w:b/>
          <w:bCs/>
          <w:sz w:val="24"/>
          <w:szCs w:val="24"/>
        </w:rPr>
        <w:t xml:space="preserve">a </w:t>
      </w:r>
      <w:r>
        <w:rPr>
          <w:b/>
          <w:bCs/>
          <w:sz w:val="24"/>
          <w:szCs w:val="24"/>
        </w:rPr>
        <w:t xml:space="preserve"> </w:t>
      </w:r>
      <w:r w:rsidRPr="00863135">
        <w:rPr>
          <w:b/>
          <w:bCs/>
          <w:sz w:val="24"/>
          <w:szCs w:val="24"/>
        </w:rPr>
        <w:t>Client</w:t>
      </w:r>
      <w:proofErr w:type="gramEnd"/>
      <w:r w:rsidRPr="00863135">
        <w:rPr>
          <w:b/>
          <w:bCs/>
          <w:sz w:val="24"/>
          <w:szCs w:val="24"/>
        </w:rPr>
        <w:t>-Centered Capstone Course</w:t>
      </w:r>
    </w:p>
    <w:p w14:paraId="16D799F5" w14:textId="77777777" w:rsidR="00863135" w:rsidRDefault="00863135" w:rsidP="00863135">
      <w:pPr>
        <w:spacing w:line="480" w:lineRule="auto"/>
        <w:jc w:val="center"/>
        <w:rPr>
          <w:b/>
          <w:bCs/>
          <w:sz w:val="24"/>
          <w:szCs w:val="24"/>
        </w:rPr>
      </w:pPr>
    </w:p>
    <w:p w14:paraId="64334A6C" w14:textId="77777777" w:rsidR="00863135" w:rsidRDefault="00863135" w:rsidP="00863135">
      <w:pPr>
        <w:spacing w:line="480" w:lineRule="auto"/>
        <w:jc w:val="center"/>
        <w:rPr>
          <w:sz w:val="24"/>
          <w:szCs w:val="24"/>
        </w:rPr>
      </w:pPr>
      <w:r>
        <w:rPr>
          <w:sz w:val="24"/>
          <w:szCs w:val="24"/>
        </w:rPr>
        <w:t>Erica D. Summerfield</w:t>
      </w:r>
    </w:p>
    <w:p w14:paraId="763D6FC5" w14:textId="77777777" w:rsidR="00863135" w:rsidRDefault="00863135" w:rsidP="00863135">
      <w:pPr>
        <w:spacing w:line="480" w:lineRule="auto"/>
        <w:jc w:val="center"/>
        <w:rPr>
          <w:sz w:val="24"/>
          <w:szCs w:val="24"/>
        </w:rPr>
      </w:pPr>
      <w:r>
        <w:rPr>
          <w:sz w:val="24"/>
          <w:szCs w:val="24"/>
        </w:rPr>
        <w:t xml:space="preserve">South Dakota State University </w:t>
      </w:r>
    </w:p>
    <w:p w14:paraId="5E5518F4" w14:textId="08237F53" w:rsidR="00863135" w:rsidRDefault="00863135" w:rsidP="00863135">
      <w:pPr>
        <w:spacing w:line="480" w:lineRule="auto"/>
        <w:jc w:val="center"/>
        <w:rPr>
          <w:b/>
          <w:bCs/>
          <w:sz w:val="24"/>
          <w:szCs w:val="24"/>
        </w:rPr>
      </w:pPr>
      <w:r>
        <w:rPr>
          <w:sz w:val="24"/>
          <w:szCs w:val="24"/>
        </w:rPr>
        <w:t>erica.summerfield@sdstate.edu</w:t>
      </w:r>
      <w:r>
        <w:rPr>
          <w:b/>
          <w:bCs/>
          <w:sz w:val="24"/>
          <w:szCs w:val="24"/>
        </w:rPr>
        <w:br w:type="page"/>
      </w:r>
    </w:p>
    <w:p w14:paraId="75D69F2F" w14:textId="52ECB7D4" w:rsidR="0038311A" w:rsidRDefault="00000000" w:rsidP="00863135">
      <w:pPr>
        <w:spacing w:before="200" w:after="80"/>
        <w:jc w:val="center"/>
      </w:pPr>
      <w:r>
        <w:rPr>
          <w:b/>
          <w:bCs/>
          <w:sz w:val="24"/>
          <w:szCs w:val="24"/>
        </w:rPr>
        <w:lastRenderedPageBreak/>
        <w:t>Introduction &amp; Need for Strategy</w:t>
      </w:r>
    </w:p>
    <w:p w14:paraId="7D65E0BC" w14:textId="77777777" w:rsidR="00B357EF" w:rsidRDefault="00000000" w:rsidP="00863135">
      <w:pPr>
        <w:spacing w:after="120"/>
        <w:ind w:firstLine="720"/>
      </w:pPr>
      <w:r>
        <w:rPr>
          <w:sz w:val="24"/>
          <w:szCs w:val="24"/>
        </w:rPr>
        <w:t xml:space="preserve">Capstone courses that place students in real, client-facing roles ask something traditional point-based grading was never built to </w:t>
      </w:r>
      <w:proofErr w:type="gramStart"/>
      <w:r>
        <w:rPr>
          <w:sz w:val="24"/>
          <w:szCs w:val="24"/>
        </w:rPr>
        <w:t>measure:</w:t>
      </w:r>
      <w:proofErr w:type="gramEnd"/>
      <w:r>
        <w:rPr>
          <w:sz w:val="24"/>
          <w:szCs w:val="24"/>
        </w:rPr>
        <w:t xml:space="preserve"> sustained professional reliability, growth under ambiguity, and the ability to adapt when a live deadline changes overnight. In an agricultural communication capstone in which students serve as the in-house communication team for a statewide agricultural youth organization, conventional assignment-by-assignment point accumulation routinely rewarded compliance over competence and obscured whether students were </w:t>
      </w:r>
      <w:proofErr w:type="gramStart"/>
      <w:r>
        <w:rPr>
          <w:sz w:val="24"/>
          <w:szCs w:val="24"/>
        </w:rPr>
        <w:t>actually becoming</w:t>
      </w:r>
      <w:proofErr w:type="gramEnd"/>
      <w:r>
        <w:rPr>
          <w:sz w:val="24"/>
          <w:szCs w:val="24"/>
        </w:rPr>
        <w:t xml:space="preserve"> the professionals the course was designed to produce (</w:t>
      </w:r>
      <w:proofErr w:type="spellStart"/>
      <w:r>
        <w:rPr>
          <w:sz w:val="24"/>
          <w:szCs w:val="24"/>
        </w:rPr>
        <w:t>Guskey</w:t>
      </w:r>
      <w:proofErr w:type="spellEnd"/>
      <w:r>
        <w:rPr>
          <w:sz w:val="24"/>
          <w:szCs w:val="24"/>
        </w:rPr>
        <w:t>, 2015). Because capstone cohorts bring together students with varied backgrounds, prior work experience, and confidence levels, a single point-based rubric applied uniformly often fails to capture meaningfully different starting points and growth trajectories across a diverse student population.</w:t>
      </w:r>
      <w:r w:rsidR="00B357EF">
        <w:t xml:space="preserve"> </w:t>
      </w:r>
    </w:p>
    <w:p w14:paraId="041B34A7" w14:textId="549F46A4" w:rsidR="0038311A" w:rsidRDefault="00000000" w:rsidP="00863135">
      <w:pPr>
        <w:spacing w:after="120"/>
        <w:ind w:firstLine="720"/>
      </w:pPr>
      <w:r>
        <w:rPr>
          <w:sz w:val="24"/>
          <w:szCs w:val="24"/>
        </w:rPr>
        <w:t>A persistent secondary problem deepened this challenge: unpredictable absences disrupted team-based client deliverables in ways a simple deduction-per-absence policy could not address, particularly because excused absences carry no real-world equivalent—a missed client meeting affects the team regardless of the reason behind it. The course needed an assessment system that mirrored the professional environment it simulated, one in which presence, reliability, and demonstrated growth mattered as much as any single deliverable (Weimer, 2013). This session offers attendees a transferable model for using holistic, criteria-based assessment to strengthen students' critical thinking and decision-making in experiential, project-based courses.</w:t>
      </w:r>
    </w:p>
    <w:p w14:paraId="22BF8F63" w14:textId="77777777" w:rsidR="0038311A" w:rsidRDefault="00000000" w:rsidP="00863135">
      <w:pPr>
        <w:spacing w:before="200" w:after="80"/>
        <w:jc w:val="center"/>
      </w:pPr>
      <w:r>
        <w:rPr>
          <w:b/>
          <w:bCs/>
          <w:sz w:val="24"/>
          <w:szCs w:val="24"/>
        </w:rPr>
        <w:t>Connection to Literature</w:t>
      </w:r>
    </w:p>
    <w:p w14:paraId="29EC7C98" w14:textId="16548120" w:rsidR="0038311A" w:rsidRDefault="00000000" w:rsidP="00863135">
      <w:pPr>
        <w:spacing w:after="120"/>
        <w:ind w:firstLine="720"/>
      </w:pPr>
      <w:r>
        <w:rPr>
          <w:sz w:val="24"/>
          <w:szCs w:val="24"/>
        </w:rPr>
        <w:t>This model draws on scholarship examining alternatives to point-based grading, including specifications grading, competency-based grading, and ungrading (</w:t>
      </w:r>
      <w:r w:rsidR="00B357EF" w:rsidRPr="004345E5">
        <w:rPr>
          <w:sz w:val="24"/>
          <w:szCs w:val="24"/>
        </w:rPr>
        <w:t>Kohn</w:t>
      </w:r>
      <w:r w:rsidR="00B357EF">
        <w:rPr>
          <w:sz w:val="24"/>
          <w:szCs w:val="24"/>
        </w:rPr>
        <w:t xml:space="preserve"> </w:t>
      </w:r>
      <w:r w:rsidR="00B357EF" w:rsidRPr="004345E5">
        <w:rPr>
          <w:sz w:val="24"/>
          <w:szCs w:val="24"/>
        </w:rPr>
        <w:t>&amp; Blum</w:t>
      </w:r>
      <w:r>
        <w:rPr>
          <w:sz w:val="24"/>
          <w:szCs w:val="24"/>
        </w:rPr>
        <w:t>, 2020; Nilson, 2016). This literature argues that point accumulation can reward compliance and grade-chasing rather than genuine skill development, and that decoupling assessment from raw points shifts student focus toward the underlying learning outcomes (</w:t>
      </w:r>
      <w:proofErr w:type="spellStart"/>
      <w:r>
        <w:rPr>
          <w:sz w:val="24"/>
          <w:szCs w:val="24"/>
        </w:rPr>
        <w:t>Guskey</w:t>
      </w:r>
      <w:proofErr w:type="spellEnd"/>
      <w:r>
        <w:rPr>
          <w:sz w:val="24"/>
          <w:szCs w:val="24"/>
        </w:rPr>
        <w:t>, 2015). Weimer's (2013) learner-centered framework further holds that shifting responsibility for learning onto students</w:t>
      </w:r>
      <w:r w:rsidR="00B357EF">
        <w:rPr>
          <w:sz w:val="24"/>
          <w:szCs w:val="24"/>
        </w:rPr>
        <w:t xml:space="preserve">, </w:t>
      </w:r>
      <w:r>
        <w:rPr>
          <w:sz w:val="24"/>
          <w:szCs w:val="24"/>
        </w:rPr>
        <w:t>through self-assessment, reflection, and structured feedback</w:t>
      </w:r>
      <w:r w:rsidR="00B357EF">
        <w:rPr>
          <w:sz w:val="24"/>
          <w:szCs w:val="24"/>
        </w:rPr>
        <w:t xml:space="preserve">, </w:t>
      </w:r>
      <w:r>
        <w:rPr>
          <w:sz w:val="24"/>
          <w:szCs w:val="24"/>
        </w:rPr>
        <w:t>builds the independent, professional judgment traditional grading rarely cultivates. Contract and labor-based grading approaches similarly show that transparent, negotiated expectations reduce the ambiguity students associate with qualitative assessment (Inoue, 20</w:t>
      </w:r>
      <w:r w:rsidR="00B357EF">
        <w:rPr>
          <w:sz w:val="24"/>
          <w:szCs w:val="24"/>
        </w:rPr>
        <w:t>22</w:t>
      </w:r>
      <w:r>
        <w:rPr>
          <w:sz w:val="24"/>
          <w:szCs w:val="24"/>
        </w:rPr>
        <w:t>), informing this course's plan to formalize a written grading agreement.</w:t>
      </w:r>
    </w:p>
    <w:p w14:paraId="70748C76" w14:textId="77777777" w:rsidR="0038311A" w:rsidRDefault="00000000" w:rsidP="00863135">
      <w:pPr>
        <w:spacing w:before="200" w:after="80"/>
        <w:jc w:val="center"/>
      </w:pPr>
      <w:r>
        <w:rPr>
          <w:b/>
          <w:bCs/>
          <w:sz w:val="24"/>
          <w:szCs w:val="24"/>
        </w:rPr>
        <w:t>How it Works &amp; Implementation of Strategy</w:t>
      </w:r>
    </w:p>
    <w:p w14:paraId="6B719D06" w14:textId="77777777" w:rsidR="00B357EF" w:rsidRDefault="00000000" w:rsidP="00863135">
      <w:pPr>
        <w:spacing w:after="120"/>
        <w:ind w:firstLine="720"/>
      </w:pPr>
      <w:r>
        <w:rPr>
          <w:sz w:val="24"/>
          <w:szCs w:val="24"/>
        </w:rPr>
        <w:t>Rather than a syllabus built around point totals, the course organizes assessment into four holistic categories evaluated multiple times across the semester: Professional Engagement &amp; Reliability, Skill Development &amp; Application, Contribution to Team &amp; Client Work, and Strategic Thinking &amp; Reflection. Each category is supported by descriptive criteria rather than numeric rubrics, and final grades are determined holistically using accumulated evidence</w:t>
      </w:r>
      <w:r w:rsidR="00B357EF">
        <w:rPr>
          <w:sz w:val="24"/>
          <w:szCs w:val="24"/>
        </w:rPr>
        <w:t xml:space="preserve">, including </w:t>
      </w:r>
      <w:r>
        <w:rPr>
          <w:sz w:val="24"/>
          <w:szCs w:val="24"/>
        </w:rPr>
        <w:t>student work, peer feedback, and instructor observation</w:t>
      </w:r>
      <w:r w:rsidR="00B357EF">
        <w:rPr>
          <w:sz w:val="24"/>
          <w:szCs w:val="24"/>
        </w:rPr>
        <w:t xml:space="preserve">, </w:t>
      </w:r>
      <w:r>
        <w:rPr>
          <w:sz w:val="24"/>
          <w:szCs w:val="24"/>
        </w:rPr>
        <w:t>rather than averaged scores</w:t>
      </w:r>
      <w:r w:rsidR="00B357EF">
        <w:rPr>
          <w:sz w:val="24"/>
          <w:szCs w:val="24"/>
        </w:rPr>
        <w:t>. This is c</w:t>
      </w:r>
      <w:r>
        <w:rPr>
          <w:sz w:val="24"/>
          <w:szCs w:val="24"/>
        </w:rPr>
        <w:t>onsistent with specifications and competency-based grading models that link assessment directly to learning outcomes (Nilson, 2016).</w:t>
      </w:r>
      <w:r w:rsidR="00B357EF">
        <w:t xml:space="preserve"> </w:t>
      </w:r>
    </w:p>
    <w:p w14:paraId="6C5BEC8F" w14:textId="5B2AC53B" w:rsidR="0038311A" w:rsidRDefault="00000000" w:rsidP="00863135">
      <w:pPr>
        <w:spacing w:after="120"/>
        <w:ind w:firstLine="360"/>
      </w:pPr>
      <w:r>
        <w:rPr>
          <w:sz w:val="24"/>
          <w:szCs w:val="24"/>
        </w:rPr>
        <w:lastRenderedPageBreak/>
        <w:t>Attendance is built directly into this model rather than treated as a separate penalty. Attendance is calculated as the percentage of required class sessions and course activities a student attends, and that percentage sets the highest final grade a student is eligible to earn</w:t>
      </w:r>
      <w:r w:rsidR="00B357EF">
        <w:rPr>
          <w:sz w:val="24"/>
          <w:szCs w:val="24"/>
        </w:rPr>
        <w:t xml:space="preserve">, </w:t>
      </w:r>
      <w:r>
        <w:rPr>
          <w:sz w:val="24"/>
          <w:szCs w:val="24"/>
        </w:rPr>
        <w:t>for example, a student attending 92% of sessions remains eligible for an A, while a student attending 65% is capped in the D range. All absences count toward this percentage whether excused or unexcused, reflecting that professional accountability does not pause for documentation. Asynchronous days count as attended only if required work is submitted on time.</w:t>
      </w:r>
      <w:r w:rsidR="00B357EF">
        <w:t xml:space="preserve"> </w:t>
      </w:r>
      <w:r>
        <w:rPr>
          <w:sz w:val="24"/>
          <w:szCs w:val="24"/>
        </w:rPr>
        <w:t>Three structured evaluation checkpoints anchor the semester:</w:t>
      </w:r>
    </w:p>
    <w:p w14:paraId="1D8F1553" w14:textId="77777777" w:rsidR="0038311A" w:rsidRDefault="00000000" w:rsidP="00B357EF">
      <w:pPr>
        <w:pStyle w:val="ListParagraph"/>
        <w:numPr>
          <w:ilvl w:val="0"/>
          <w:numId w:val="2"/>
        </w:numPr>
        <w:spacing w:after="60"/>
      </w:pPr>
      <w:r>
        <w:rPr>
          <w:sz w:val="24"/>
          <w:szCs w:val="24"/>
        </w:rPr>
        <w:t>Early-semester skills inventory: students self-assess where they currently stand across the four categories, establishing a documented baseline.</w:t>
      </w:r>
    </w:p>
    <w:p w14:paraId="1531CFDF" w14:textId="77777777" w:rsidR="0038311A" w:rsidRDefault="00000000" w:rsidP="00B357EF">
      <w:pPr>
        <w:pStyle w:val="ListParagraph"/>
        <w:numPr>
          <w:ilvl w:val="0"/>
          <w:numId w:val="2"/>
        </w:numPr>
        <w:spacing w:after="60"/>
      </w:pPr>
      <w:r>
        <w:rPr>
          <w:sz w:val="24"/>
          <w:szCs w:val="24"/>
        </w:rPr>
        <w:t>Midterm self-evaluation and development conference: students rate themselves in each category, then meet one-on-one with the instructor to compare perceptions and co-create a written development plan.</w:t>
      </w:r>
    </w:p>
    <w:p w14:paraId="330052C3" w14:textId="77777777" w:rsidR="0038311A" w:rsidRDefault="00000000" w:rsidP="00B357EF">
      <w:pPr>
        <w:pStyle w:val="ListParagraph"/>
        <w:numPr>
          <w:ilvl w:val="0"/>
          <w:numId w:val="2"/>
        </w:numPr>
        <w:spacing w:after="60"/>
      </w:pPr>
      <w:r>
        <w:rPr>
          <w:sz w:val="24"/>
          <w:szCs w:val="24"/>
        </w:rPr>
        <w:t>End-of-semester reflection: students submit a final written self-evaluation addressing growth and readiness for professional work.</w:t>
      </w:r>
    </w:p>
    <w:p w14:paraId="2E73D7E3" w14:textId="77777777" w:rsidR="0038311A" w:rsidRDefault="00000000" w:rsidP="00863135">
      <w:pPr>
        <w:spacing w:before="200" w:after="80"/>
        <w:jc w:val="center"/>
      </w:pPr>
      <w:r>
        <w:rPr>
          <w:b/>
          <w:bCs/>
          <w:sz w:val="24"/>
          <w:szCs w:val="24"/>
        </w:rPr>
        <w:t>Results to Date/Implications/Impact</w:t>
      </w:r>
    </w:p>
    <w:p w14:paraId="52F0CE7D" w14:textId="54D7D918" w:rsidR="0038311A" w:rsidRDefault="00000000" w:rsidP="00863135">
      <w:pPr>
        <w:spacing w:after="120"/>
        <w:ind w:firstLine="720"/>
      </w:pPr>
      <w:r>
        <w:rPr>
          <w:sz w:val="24"/>
          <w:szCs w:val="24"/>
        </w:rPr>
        <w:t>This was the first semester implementing the model, and results were mixed. Students with prior project-based or client-facing experience adapted quickly, reporting that the framework felt more honest than a syllabus of disconnected point values</w:t>
      </w:r>
      <w:r w:rsidR="00B357EF">
        <w:rPr>
          <w:sz w:val="24"/>
          <w:szCs w:val="24"/>
        </w:rPr>
        <w:t>. T</w:t>
      </w:r>
      <w:r>
        <w:rPr>
          <w:sz w:val="24"/>
          <w:szCs w:val="24"/>
        </w:rPr>
        <w:t>he midterm conference surfaced individualized feedback a grade percentage alone would not produce, echoing findings that conference-based feedback supports deeper engagement than summative point totals (</w:t>
      </w:r>
      <w:r w:rsidR="00B357EF" w:rsidRPr="004345E5">
        <w:rPr>
          <w:sz w:val="24"/>
          <w:szCs w:val="24"/>
        </w:rPr>
        <w:t>Kohn</w:t>
      </w:r>
      <w:r w:rsidR="00B357EF">
        <w:rPr>
          <w:sz w:val="24"/>
          <w:szCs w:val="24"/>
        </w:rPr>
        <w:t xml:space="preserve"> </w:t>
      </w:r>
      <w:r w:rsidR="00B357EF" w:rsidRPr="004345E5">
        <w:rPr>
          <w:sz w:val="24"/>
          <w:szCs w:val="24"/>
        </w:rPr>
        <w:t>&amp; Blum</w:t>
      </w:r>
      <w:r>
        <w:rPr>
          <w:sz w:val="24"/>
          <w:szCs w:val="24"/>
        </w:rPr>
        <w:t>, 2020). Other students struggled with the absence of a running point total</w:t>
      </w:r>
      <w:r w:rsidR="00B357EF">
        <w:rPr>
          <w:sz w:val="24"/>
          <w:szCs w:val="24"/>
        </w:rPr>
        <w:t xml:space="preserve"> and </w:t>
      </w:r>
      <w:r>
        <w:rPr>
          <w:sz w:val="24"/>
          <w:szCs w:val="24"/>
        </w:rPr>
        <w:t xml:space="preserve">several reported persistent </w:t>
      </w:r>
      <w:proofErr w:type="gramStart"/>
      <w:r>
        <w:rPr>
          <w:sz w:val="24"/>
          <w:szCs w:val="24"/>
        </w:rPr>
        <w:t>uncertainty</w:t>
      </w:r>
      <w:proofErr w:type="gramEnd"/>
      <w:r>
        <w:rPr>
          <w:sz w:val="24"/>
          <w:szCs w:val="24"/>
        </w:rPr>
        <w:t xml:space="preserve"> despite the built-in checkpoints, and some described the model as subjective even with documented criteria, a tension commonly reported when students transition from point-based to qualitative assessment (</w:t>
      </w:r>
      <w:r w:rsidR="00B357EF" w:rsidRPr="004345E5">
        <w:rPr>
          <w:sz w:val="24"/>
          <w:szCs w:val="24"/>
        </w:rPr>
        <w:t>Kohn</w:t>
      </w:r>
      <w:r w:rsidR="00B357EF">
        <w:rPr>
          <w:sz w:val="24"/>
          <w:szCs w:val="24"/>
        </w:rPr>
        <w:t xml:space="preserve"> </w:t>
      </w:r>
      <w:r w:rsidR="00B357EF" w:rsidRPr="004345E5">
        <w:rPr>
          <w:sz w:val="24"/>
          <w:szCs w:val="24"/>
        </w:rPr>
        <w:t>&amp; Blum</w:t>
      </w:r>
      <w:r>
        <w:rPr>
          <w:sz w:val="24"/>
          <w:szCs w:val="24"/>
        </w:rPr>
        <w:t xml:space="preserve">, 2020; </w:t>
      </w:r>
      <w:proofErr w:type="spellStart"/>
      <w:r>
        <w:rPr>
          <w:sz w:val="24"/>
          <w:szCs w:val="24"/>
        </w:rPr>
        <w:t>Guskey</w:t>
      </w:r>
      <w:proofErr w:type="spellEnd"/>
      <w:r>
        <w:rPr>
          <w:sz w:val="24"/>
          <w:szCs w:val="24"/>
        </w:rPr>
        <w:t>, 2015).</w:t>
      </w:r>
      <w:r w:rsidR="00B357EF">
        <w:t xml:space="preserve"> </w:t>
      </w:r>
      <w:r>
        <w:rPr>
          <w:sz w:val="24"/>
          <w:szCs w:val="24"/>
        </w:rPr>
        <w:t>The attendance-as-grade-ceiling structure curbed the casual absenteeism</w:t>
      </w:r>
      <w:r w:rsidR="00B357EF">
        <w:rPr>
          <w:sz w:val="24"/>
          <w:szCs w:val="24"/>
        </w:rPr>
        <w:t xml:space="preserve"> </w:t>
      </w:r>
      <w:r>
        <w:rPr>
          <w:sz w:val="24"/>
          <w:szCs w:val="24"/>
        </w:rPr>
        <w:t>course</w:t>
      </w:r>
      <w:r w:rsidR="00B357EF">
        <w:rPr>
          <w:sz w:val="24"/>
          <w:szCs w:val="24"/>
        </w:rPr>
        <w:t>s</w:t>
      </w:r>
      <w:r>
        <w:rPr>
          <w:sz w:val="24"/>
          <w:szCs w:val="24"/>
        </w:rPr>
        <w:t xml:space="preserve"> had struggled with previously, though it also generated anxiety for students managing legitimate, unavoidable conflicts. Beyond attendance, midterm and end-of-semester reflections offer early evidence that self-assessment strengthens students' reflective decision-making, prompting many to identify and problem-solve gaps in their own practice with less direct instructor intervention. Together, these mixed results suggest the model incentivizes professional engagement and experiential problem-solving over point-chasing, but that success depends heavily on how clearly the qualitative criteria are communicated throughout the semester (Nilson, 2016).</w:t>
      </w:r>
    </w:p>
    <w:p w14:paraId="7B2E6E05" w14:textId="77777777" w:rsidR="0038311A" w:rsidRDefault="00000000" w:rsidP="00863135">
      <w:pPr>
        <w:spacing w:before="200" w:after="80"/>
        <w:jc w:val="center"/>
      </w:pPr>
      <w:proofErr w:type="gramStart"/>
      <w:r>
        <w:rPr>
          <w:b/>
          <w:bCs/>
          <w:sz w:val="24"/>
          <w:szCs w:val="24"/>
        </w:rPr>
        <w:t>Future Plans</w:t>
      </w:r>
      <w:proofErr w:type="gramEnd"/>
      <w:r>
        <w:rPr>
          <w:b/>
          <w:bCs/>
          <w:sz w:val="24"/>
          <w:szCs w:val="24"/>
        </w:rPr>
        <w:t>/Advice to Others</w:t>
      </w:r>
    </w:p>
    <w:p w14:paraId="07625028" w14:textId="18FE180B" w:rsidR="0038311A" w:rsidRDefault="00000000" w:rsidP="00863135">
      <w:pPr>
        <w:spacing w:after="120"/>
        <w:ind w:firstLine="720"/>
      </w:pPr>
      <w:r>
        <w:rPr>
          <w:sz w:val="24"/>
          <w:szCs w:val="24"/>
        </w:rPr>
        <w:t>Future iterations will introduce a written grading agreement signed in week one, more frequent brief progress check-ins, and example artifacts illustrating each category at different performance levels, to reduce the ambiguity students reported</w:t>
      </w:r>
      <w:r w:rsidR="00B357EF">
        <w:rPr>
          <w:sz w:val="24"/>
          <w:szCs w:val="24"/>
        </w:rPr>
        <w:t xml:space="preserve">. This </w:t>
      </w:r>
      <w:r>
        <w:rPr>
          <w:sz w:val="24"/>
          <w:szCs w:val="24"/>
        </w:rPr>
        <w:t>mirror</w:t>
      </w:r>
      <w:r w:rsidR="00B357EF">
        <w:rPr>
          <w:sz w:val="24"/>
          <w:szCs w:val="24"/>
        </w:rPr>
        <w:t>s</w:t>
      </w:r>
      <w:r>
        <w:rPr>
          <w:sz w:val="24"/>
          <w:szCs w:val="24"/>
        </w:rPr>
        <w:t xml:space="preserve"> labor-based and contract-grading approaches, in which explicit, negotiated expectations reduce ambiguity about how engagement translates into a grade (Inoue, 20</w:t>
      </w:r>
      <w:r w:rsidR="00B357EF">
        <w:rPr>
          <w:sz w:val="24"/>
          <w:szCs w:val="24"/>
        </w:rPr>
        <w:t>22</w:t>
      </w:r>
      <w:r>
        <w:rPr>
          <w:sz w:val="24"/>
          <w:szCs w:val="24"/>
        </w:rPr>
        <w:t>).</w:t>
      </w:r>
      <w:r w:rsidR="00B357EF">
        <w:t xml:space="preserve"> </w:t>
      </w:r>
      <w:r>
        <w:rPr>
          <w:sz w:val="24"/>
          <w:szCs w:val="24"/>
        </w:rPr>
        <w:t>For instructors considering a similar model: build one-on-one conferences in from the start, since they are where the model's value is most visible to students (</w:t>
      </w:r>
      <w:r w:rsidR="00B357EF" w:rsidRPr="004345E5">
        <w:rPr>
          <w:sz w:val="24"/>
          <w:szCs w:val="24"/>
        </w:rPr>
        <w:t>Kohn</w:t>
      </w:r>
      <w:r w:rsidR="00B357EF">
        <w:rPr>
          <w:sz w:val="24"/>
          <w:szCs w:val="24"/>
        </w:rPr>
        <w:t xml:space="preserve"> </w:t>
      </w:r>
      <w:r w:rsidR="00B357EF" w:rsidRPr="004345E5">
        <w:rPr>
          <w:sz w:val="24"/>
          <w:szCs w:val="24"/>
        </w:rPr>
        <w:t>&amp; Blum</w:t>
      </w:r>
      <w:r>
        <w:rPr>
          <w:sz w:val="24"/>
          <w:szCs w:val="24"/>
        </w:rPr>
        <w:t>, 2020); communicate the attendance-as-ceiling policy explicitly and repeatedly, since it is the element most likely to be misunderstood; and expect</w:t>
      </w:r>
      <w:r w:rsidR="00B357EF">
        <w:rPr>
          <w:sz w:val="24"/>
          <w:szCs w:val="24"/>
        </w:rPr>
        <w:t>, a</w:t>
      </w:r>
      <w:r>
        <w:rPr>
          <w:sz w:val="24"/>
          <w:szCs w:val="24"/>
        </w:rPr>
        <w:t>nd plan to support</w:t>
      </w:r>
      <w:r w:rsidR="00B357EF">
        <w:rPr>
          <w:sz w:val="24"/>
          <w:szCs w:val="24"/>
        </w:rPr>
        <w:t xml:space="preserve">, </w:t>
      </w:r>
      <w:r>
        <w:rPr>
          <w:sz w:val="24"/>
          <w:szCs w:val="24"/>
        </w:rPr>
        <w:t>discomfort from students accustomed to point-based grading, since the mindset shift takes longer than one syllabus read-through (</w:t>
      </w:r>
      <w:proofErr w:type="spellStart"/>
      <w:r>
        <w:rPr>
          <w:sz w:val="24"/>
          <w:szCs w:val="24"/>
        </w:rPr>
        <w:t>Guskey</w:t>
      </w:r>
      <w:proofErr w:type="spellEnd"/>
      <w:r>
        <w:rPr>
          <w:sz w:val="24"/>
          <w:szCs w:val="24"/>
        </w:rPr>
        <w:t>, 2015).</w:t>
      </w:r>
    </w:p>
    <w:p w14:paraId="0C3F99A0" w14:textId="77D06832" w:rsidR="00863135" w:rsidRPr="00863135" w:rsidRDefault="00000000" w:rsidP="00863135">
      <w:pPr>
        <w:spacing w:before="200" w:after="80"/>
        <w:jc w:val="center"/>
        <w:rPr>
          <w:b/>
          <w:bCs/>
          <w:sz w:val="24"/>
          <w:szCs w:val="24"/>
        </w:rPr>
      </w:pPr>
      <w:r>
        <w:rPr>
          <w:b/>
          <w:bCs/>
          <w:sz w:val="24"/>
          <w:szCs w:val="24"/>
        </w:rPr>
        <w:lastRenderedPageBreak/>
        <w:t>References</w:t>
      </w:r>
    </w:p>
    <w:p w14:paraId="2EB33030" w14:textId="77777777" w:rsidR="00B357EF" w:rsidRDefault="00B357EF" w:rsidP="00863135">
      <w:pPr>
        <w:spacing w:after="120"/>
        <w:ind w:left="720" w:hanging="720"/>
        <w:rPr>
          <w:sz w:val="24"/>
          <w:szCs w:val="24"/>
        </w:rPr>
      </w:pPr>
      <w:r>
        <w:rPr>
          <w:sz w:val="24"/>
          <w:szCs w:val="24"/>
        </w:rPr>
        <w:t xml:space="preserve">Guskey, T. R. (2015). </w:t>
      </w:r>
      <w:r w:rsidRPr="004345E5">
        <w:rPr>
          <w:i/>
          <w:iCs/>
          <w:sz w:val="24"/>
          <w:szCs w:val="24"/>
        </w:rPr>
        <w:t>On your mark: Challenging the conventions of grading and reporting.</w:t>
      </w:r>
      <w:r>
        <w:rPr>
          <w:sz w:val="24"/>
          <w:szCs w:val="24"/>
        </w:rPr>
        <w:t xml:space="preserve"> Solution Tree Press.</w:t>
      </w:r>
    </w:p>
    <w:p w14:paraId="2B4C64A6" w14:textId="49BDA709" w:rsidR="00B357EF" w:rsidRDefault="00B357EF" w:rsidP="00863135">
      <w:pPr>
        <w:spacing w:after="120"/>
        <w:ind w:left="720" w:hanging="720"/>
        <w:rPr>
          <w:sz w:val="24"/>
          <w:szCs w:val="24"/>
        </w:rPr>
      </w:pPr>
      <w:r w:rsidRPr="004345E5">
        <w:rPr>
          <w:sz w:val="24"/>
          <w:szCs w:val="24"/>
        </w:rPr>
        <w:t xml:space="preserve">Kohn, A., &amp; Blum, S.D. (2020). </w:t>
      </w:r>
      <w:r w:rsidRPr="004345E5">
        <w:rPr>
          <w:i/>
          <w:iCs/>
          <w:sz w:val="24"/>
          <w:szCs w:val="24"/>
        </w:rPr>
        <w:t>Ungrading: Why Rating Students Undermines Learning (and What to Do Instead).</w:t>
      </w:r>
      <w:r w:rsidRPr="004345E5">
        <w:rPr>
          <w:sz w:val="24"/>
          <w:szCs w:val="24"/>
        </w:rPr>
        <w:t xml:space="preserve"> (First edition. ed.). Morgantown: West Virginia University Press. </w:t>
      </w:r>
      <w:hyperlink r:id="rId5" w:history="1">
        <w:r w:rsidR="00863135" w:rsidRPr="0055134E">
          <w:rPr>
            <w:rStyle w:val="Hyperlink"/>
            <w:sz w:val="24"/>
            <w:szCs w:val="24"/>
          </w:rPr>
          <w:t>https://muse.jhu.edu/book/78367</w:t>
        </w:r>
      </w:hyperlink>
    </w:p>
    <w:p w14:paraId="2CBE0B86" w14:textId="3D91C52B" w:rsidR="00B357EF" w:rsidRDefault="00B357EF" w:rsidP="00863135">
      <w:pPr>
        <w:spacing w:after="120"/>
        <w:ind w:left="720" w:hanging="720"/>
        <w:rPr>
          <w:sz w:val="24"/>
          <w:szCs w:val="24"/>
        </w:rPr>
      </w:pPr>
      <w:r>
        <w:rPr>
          <w:sz w:val="24"/>
          <w:szCs w:val="24"/>
        </w:rPr>
        <w:t xml:space="preserve">Inoue, A. B. (2022). </w:t>
      </w:r>
      <w:r w:rsidRPr="004345E5">
        <w:rPr>
          <w:i/>
          <w:iCs/>
          <w:sz w:val="24"/>
          <w:szCs w:val="24"/>
        </w:rPr>
        <w:t>Labor-based grading contracts: Building equity and inclusion in the compassionate writing classroom</w:t>
      </w:r>
      <w:r>
        <w:rPr>
          <w:sz w:val="24"/>
          <w:szCs w:val="24"/>
        </w:rPr>
        <w:t xml:space="preserve">. </w:t>
      </w:r>
      <w:r w:rsidRPr="004345E5">
        <w:rPr>
          <w:sz w:val="24"/>
          <w:szCs w:val="24"/>
        </w:rPr>
        <w:t xml:space="preserve">2nd ed. The WAC Clearinghouse; University Press of Colorado. </w:t>
      </w:r>
      <w:hyperlink r:id="rId6" w:history="1">
        <w:r w:rsidR="00863135" w:rsidRPr="0055134E">
          <w:rPr>
            <w:rStyle w:val="Hyperlink"/>
            <w:sz w:val="24"/>
            <w:szCs w:val="24"/>
          </w:rPr>
          <w:t>https://doi.org/10.37514/PER-B.2022.1824</w:t>
        </w:r>
      </w:hyperlink>
    </w:p>
    <w:p w14:paraId="11CCD7A5" w14:textId="77777777" w:rsidR="00B357EF" w:rsidRPr="004345E5" w:rsidRDefault="00B357EF" w:rsidP="00863135">
      <w:pPr>
        <w:spacing w:after="120"/>
        <w:ind w:left="720" w:hanging="720"/>
        <w:rPr>
          <w:sz w:val="24"/>
          <w:szCs w:val="24"/>
        </w:rPr>
      </w:pPr>
      <w:r w:rsidRPr="004345E5">
        <w:rPr>
          <w:sz w:val="24"/>
          <w:szCs w:val="24"/>
        </w:rPr>
        <w:t>Nilson, L. B. (2016). </w:t>
      </w:r>
      <w:r w:rsidRPr="004345E5">
        <w:rPr>
          <w:i/>
          <w:iCs/>
          <w:sz w:val="24"/>
          <w:szCs w:val="24"/>
        </w:rPr>
        <w:t>Yes, Virginia, There's a Better Way to Grade. Inside Higher Ed</w:t>
      </w:r>
      <w:r w:rsidRPr="004345E5">
        <w:rPr>
          <w:sz w:val="24"/>
          <w:szCs w:val="24"/>
        </w:rPr>
        <w:t>.</w:t>
      </w:r>
    </w:p>
    <w:p w14:paraId="7A797EC0" w14:textId="77777777" w:rsidR="00B357EF" w:rsidRPr="004345E5" w:rsidRDefault="00B357EF" w:rsidP="00863135">
      <w:pPr>
        <w:spacing w:after="120"/>
        <w:ind w:left="720" w:hanging="720"/>
        <w:rPr>
          <w:sz w:val="24"/>
          <w:szCs w:val="24"/>
        </w:rPr>
      </w:pPr>
      <w:r w:rsidRPr="004345E5">
        <w:rPr>
          <w:sz w:val="24"/>
          <w:szCs w:val="24"/>
        </w:rPr>
        <w:t>Weimer, M. (2013). </w:t>
      </w:r>
      <w:r w:rsidRPr="004345E5">
        <w:rPr>
          <w:i/>
          <w:iCs/>
          <w:sz w:val="24"/>
          <w:szCs w:val="24"/>
        </w:rPr>
        <w:t>Learner-centered teaching: Five key changes to practice</w:t>
      </w:r>
      <w:r w:rsidRPr="004345E5">
        <w:rPr>
          <w:sz w:val="24"/>
          <w:szCs w:val="24"/>
        </w:rPr>
        <w:t>. John Wiley &amp; Sons.</w:t>
      </w:r>
    </w:p>
    <w:p w14:paraId="2355D403" w14:textId="77777777" w:rsidR="00B357EF" w:rsidRDefault="00B357EF" w:rsidP="00B357EF">
      <w:pPr>
        <w:spacing w:after="120"/>
        <w:ind w:left="360" w:hanging="360"/>
      </w:pPr>
    </w:p>
    <w:sectPr w:rsidR="00B357EF">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D7768F5"/>
    <w:multiLevelType w:val="hybridMultilevel"/>
    <w:tmpl w:val="822C55A0"/>
    <w:lvl w:ilvl="0" w:tplc="3F203754">
      <w:start w:val="1"/>
      <w:numFmt w:val="decimal"/>
      <w:lvlText w:val="%1."/>
      <w:lvlJc w:val="left"/>
      <w:pPr>
        <w:ind w:left="720" w:hanging="360"/>
      </w:pPr>
    </w:lvl>
    <w:lvl w:ilvl="1" w:tplc="2064F270">
      <w:numFmt w:val="decimal"/>
      <w:lvlText w:val=""/>
      <w:lvlJc w:val="left"/>
    </w:lvl>
    <w:lvl w:ilvl="2" w:tplc="719254B4">
      <w:numFmt w:val="decimal"/>
      <w:lvlText w:val=""/>
      <w:lvlJc w:val="left"/>
    </w:lvl>
    <w:lvl w:ilvl="3" w:tplc="FA0413D2">
      <w:numFmt w:val="decimal"/>
      <w:lvlText w:val=""/>
      <w:lvlJc w:val="left"/>
    </w:lvl>
    <w:lvl w:ilvl="4" w:tplc="B0D21842">
      <w:numFmt w:val="decimal"/>
      <w:lvlText w:val=""/>
      <w:lvlJc w:val="left"/>
    </w:lvl>
    <w:lvl w:ilvl="5" w:tplc="F0E63D0E">
      <w:numFmt w:val="decimal"/>
      <w:lvlText w:val=""/>
      <w:lvlJc w:val="left"/>
    </w:lvl>
    <w:lvl w:ilvl="6" w:tplc="AB38165A">
      <w:numFmt w:val="decimal"/>
      <w:lvlText w:val=""/>
      <w:lvlJc w:val="left"/>
    </w:lvl>
    <w:lvl w:ilvl="7" w:tplc="C974F538">
      <w:numFmt w:val="decimal"/>
      <w:lvlText w:val=""/>
      <w:lvlJc w:val="left"/>
    </w:lvl>
    <w:lvl w:ilvl="8" w:tplc="F3164288">
      <w:numFmt w:val="decimal"/>
      <w:lvlText w:val=""/>
      <w:lvlJc w:val="left"/>
    </w:lvl>
  </w:abstractNum>
  <w:abstractNum w:abstractNumId="1" w15:restartNumberingAfterBreak="0">
    <w:nsid w:val="519807A5"/>
    <w:multiLevelType w:val="hybridMultilevel"/>
    <w:tmpl w:val="E17E2504"/>
    <w:lvl w:ilvl="0" w:tplc="5E8EFE12">
      <w:start w:val="1"/>
      <w:numFmt w:val="bullet"/>
      <w:lvlText w:val="●"/>
      <w:lvlJc w:val="left"/>
      <w:pPr>
        <w:ind w:left="720" w:hanging="360"/>
      </w:pPr>
    </w:lvl>
    <w:lvl w:ilvl="1" w:tplc="B5784C10">
      <w:start w:val="1"/>
      <w:numFmt w:val="bullet"/>
      <w:lvlText w:val="○"/>
      <w:lvlJc w:val="left"/>
      <w:pPr>
        <w:ind w:left="1440" w:hanging="360"/>
      </w:pPr>
    </w:lvl>
    <w:lvl w:ilvl="2" w:tplc="8E4210BE">
      <w:start w:val="1"/>
      <w:numFmt w:val="bullet"/>
      <w:lvlText w:val="■"/>
      <w:lvlJc w:val="left"/>
      <w:pPr>
        <w:ind w:left="2160" w:hanging="360"/>
      </w:pPr>
    </w:lvl>
    <w:lvl w:ilvl="3" w:tplc="AE28A922">
      <w:start w:val="1"/>
      <w:numFmt w:val="bullet"/>
      <w:lvlText w:val="●"/>
      <w:lvlJc w:val="left"/>
      <w:pPr>
        <w:ind w:left="2880" w:hanging="360"/>
      </w:pPr>
    </w:lvl>
    <w:lvl w:ilvl="4" w:tplc="1A4092CC">
      <w:start w:val="1"/>
      <w:numFmt w:val="bullet"/>
      <w:lvlText w:val="○"/>
      <w:lvlJc w:val="left"/>
      <w:pPr>
        <w:ind w:left="3600" w:hanging="360"/>
      </w:pPr>
    </w:lvl>
    <w:lvl w:ilvl="5" w:tplc="428A3C98">
      <w:start w:val="1"/>
      <w:numFmt w:val="bullet"/>
      <w:lvlText w:val="■"/>
      <w:lvlJc w:val="left"/>
      <w:pPr>
        <w:ind w:left="4320" w:hanging="360"/>
      </w:pPr>
    </w:lvl>
    <w:lvl w:ilvl="6" w:tplc="DCD6C1F0">
      <w:start w:val="1"/>
      <w:numFmt w:val="bullet"/>
      <w:lvlText w:val="●"/>
      <w:lvlJc w:val="left"/>
      <w:pPr>
        <w:ind w:left="5040" w:hanging="360"/>
      </w:pPr>
    </w:lvl>
    <w:lvl w:ilvl="7" w:tplc="D0EC7E7C">
      <w:start w:val="1"/>
      <w:numFmt w:val="bullet"/>
      <w:lvlText w:val="●"/>
      <w:lvlJc w:val="left"/>
      <w:pPr>
        <w:ind w:left="5760" w:hanging="360"/>
      </w:pPr>
    </w:lvl>
    <w:lvl w:ilvl="8" w:tplc="DD941034">
      <w:start w:val="1"/>
      <w:numFmt w:val="bullet"/>
      <w:lvlText w:val="●"/>
      <w:lvlJc w:val="left"/>
      <w:pPr>
        <w:ind w:left="6480" w:hanging="360"/>
      </w:pPr>
    </w:lvl>
  </w:abstractNum>
  <w:num w:numId="1" w16cid:durableId="856383902">
    <w:abstractNumId w:val="1"/>
    <w:lvlOverride w:ilvl="0">
      <w:startOverride w:val="1"/>
    </w:lvlOverride>
  </w:num>
  <w:num w:numId="2" w16cid:durableId="729380585">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1A"/>
    <w:rsid w:val="0038311A"/>
    <w:rsid w:val="005E58A5"/>
    <w:rsid w:val="00863135"/>
    <w:rsid w:val="00B30B35"/>
    <w:rsid w:val="00B357EF"/>
    <w:rsid w:val="00C26243"/>
    <w:rsid w:val="00C3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647E21"/>
  <w15:docId w15:val="{02F4F802-33DE-7B4F-B62C-BB194CBB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863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7514/PER-B.2022.1824" TargetMode="External"/><Relationship Id="rId5" Type="http://schemas.openxmlformats.org/officeDocument/2006/relationships/hyperlink" Target="https://muse.jhu.edu/book/783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1219</Words>
  <Characters>6954</Characters>
  <Application>Microsoft Office Word</Application>
  <DocSecurity>0</DocSecurity>
  <Lines>57</Lines>
  <Paragraphs>16</Paragraphs>
  <ScaleCrop>false</ScaleCrop>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Summerfield, Erica</cp:lastModifiedBy>
  <cp:revision>2</cp:revision>
  <dcterms:created xsi:type="dcterms:W3CDTF">2026-09-03T15:31:00Z</dcterms:created>
  <dcterms:modified xsi:type="dcterms:W3CDTF">2026-09-03T15:31:00Z</dcterms:modified>
</cp:coreProperties>
</file>