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6BE" w:rsidRPr="00CB6CFF" w:rsidRDefault="00F326BE" w:rsidP="00F326BE">
      <w:pPr>
        <w:spacing w:after="0" w:line="240" w:lineRule="auto"/>
        <w:jc w:val="right"/>
        <w:rPr>
          <w:rFonts w:ascii="Times New Roman" w:hAnsi="Times New Roman" w:cs="Times New Roman"/>
          <w:sz w:val="24"/>
          <w:szCs w:val="24"/>
        </w:rPr>
      </w:pPr>
      <w:r w:rsidRPr="00CB6CFF">
        <w:rPr>
          <w:rFonts w:ascii="Times New Roman" w:hAnsi="Times New Roman" w:cs="Times New Roman"/>
          <w:sz w:val="24"/>
          <w:szCs w:val="24"/>
        </w:rPr>
        <w:t>Research</w:t>
      </w: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Critical Thinking Skills</w:t>
      </w:r>
      <w:r>
        <w:rPr>
          <w:rFonts w:ascii="Times New Roman" w:hAnsi="Times New Roman" w:cs="Times New Roman"/>
          <w:sz w:val="24"/>
          <w:szCs w:val="24"/>
        </w:rPr>
        <w:t xml:space="preserve"> Evidenced in Graduate Student Blogs</w:t>
      </w:r>
    </w:p>
    <w:p w:rsidR="00F326BE"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sz w:val="24"/>
          <w:szCs w:val="24"/>
        </w:rPr>
      </w:pPr>
      <w:proofErr w:type="spellStart"/>
      <w:r w:rsidRPr="00CB6CFF">
        <w:rPr>
          <w:rFonts w:ascii="Times New Roman" w:hAnsi="Times New Roman" w:cs="Times New Roman"/>
          <w:sz w:val="24"/>
          <w:szCs w:val="24"/>
        </w:rPr>
        <w:t>Viviana</w:t>
      </w:r>
      <w:proofErr w:type="spellEnd"/>
      <w:r w:rsidRPr="00CB6CFF">
        <w:rPr>
          <w:rFonts w:ascii="Times New Roman" w:hAnsi="Times New Roman" w:cs="Times New Roman"/>
          <w:sz w:val="24"/>
          <w:szCs w:val="24"/>
        </w:rPr>
        <w:t xml:space="preserve"> Giraud</w:t>
      </w:r>
    </w:p>
    <w:p w:rsidR="00F326BE" w:rsidRDefault="009B5A79" w:rsidP="00F326BE">
      <w:pPr>
        <w:spacing w:after="0" w:line="240" w:lineRule="auto"/>
        <w:jc w:val="center"/>
        <w:rPr>
          <w:rFonts w:ascii="Times New Roman" w:hAnsi="Times New Roman" w:cs="Times New Roman"/>
          <w:sz w:val="24"/>
          <w:szCs w:val="24"/>
        </w:rPr>
      </w:pPr>
      <w:hyperlink r:id="rId4" w:history="1">
        <w:r w:rsidR="00F326BE" w:rsidRPr="0044098C">
          <w:rPr>
            <w:rStyle w:val="Hyperlink"/>
            <w:rFonts w:ascii="Times New Roman" w:hAnsi="Times New Roman" w:cs="Times New Roman"/>
            <w:sz w:val="24"/>
            <w:szCs w:val="24"/>
          </w:rPr>
          <w:t>giraud523@ufl.edu</w:t>
        </w:r>
      </w:hyperlink>
    </w:p>
    <w:p w:rsidR="00F326BE" w:rsidRPr="00CB6CFF"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University of Florida</w:t>
      </w:r>
    </w:p>
    <w:p w:rsidR="00F326BE" w:rsidRPr="00CB6CFF"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PO Box 110540</w:t>
      </w:r>
    </w:p>
    <w:p w:rsidR="00F326BE"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Gainesville, FL 32611</w:t>
      </w:r>
    </w:p>
    <w:p w:rsidR="00F326BE" w:rsidRDefault="00F326BE" w:rsidP="00F326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w:t>
      </w:r>
    </w:p>
    <w:p w:rsidR="00F326BE" w:rsidRDefault="00F326BE" w:rsidP="00F326BE">
      <w:pPr>
        <w:spacing w:after="0" w:line="240" w:lineRule="auto"/>
        <w:jc w:val="center"/>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Holly Cain</w:t>
      </w:r>
    </w:p>
    <w:p w:rsidR="00F326BE" w:rsidRDefault="009B5A79" w:rsidP="00F326BE">
      <w:pPr>
        <w:spacing w:after="0" w:line="240" w:lineRule="auto"/>
        <w:jc w:val="center"/>
        <w:rPr>
          <w:rFonts w:ascii="Times New Roman" w:hAnsi="Times New Roman" w:cs="Times New Roman"/>
          <w:sz w:val="24"/>
          <w:szCs w:val="24"/>
        </w:rPr>
      </w:pPr>
      <w:hyperlink r:id="rId5" w:history="1">
        <w:r w:rsidR="00F326BE" w:rsidRPr="0044098C">
          <w:rPr>
            <w:rStyle w:val="Hyperlink"/>
            <w:rFonts w:ascii="Times New Roman" w:hAnsi="Times New Roman" w:cs="Times New Roman"/>
            <w:sz w:val="24"/>
            <w:szCs w:val="24"/>
          </w:rPr>
          <w:t>hollykreed@ufl.edu</w:t>
        </w:r>
      </w:hyperlink>
    </w:p>
    <w:p w:rsidR="00F326BE" w:rsidRPr="00CB6CFF"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University of Florida</w:t>
      </w:r>
    </w:p>
    <w:p w:rsidR="00F326BE" w:rsidRPr="00CB6CFF"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PO Box 110540</w:t>
      </w:r>
    </w:p>
    <w:p w:rsidR="00F326BE"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Gainesville, FL 32611</w:t>
      </w:r>
    </w:p>
    <w:p w:rsidR="00F326BE" w:rsidRDefault="00F326BE" w:rsidP="00F326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w:t>
      </w:r>
    </w:p>
    <w:p w:rsidR="00A645FD" w:rsidRDefault="00A645FD" w:rsidP="00F326BE">
      <w:pPr>
        <w:spacing w:after="0" w:line="240" w:lineRule="auto"/>
        <w:jc w:val="center"/>
        <w:rPr>
          <w:rFonts w:ascii="Times New Roman" w:hAnsi="Times New Roman" w:cs="Times New Roman"/>
          <w:sz w:val="24"/>
          <w:szCs w:val="24"/>
        </w:rPr>
      </w:pPr>
    </w:p>
    <w:p w:rsidR="00A645FD" w:rsidRDefault="00A645FD" w:rsidP="00A645FD">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Nicole Stedman</w:t>
      </w:r>
      <w:r>
        <w:rPr>
          <w:rFonts w:ascii="Times New Roman" w:hAnsi="Times New Roman" w:cs="Times New Roman"/>
          <w:sz w:val="24"/>
          <w:szCs w:val="24"/>
        </w:rPr>
        <w:t>, PhD</w:t>
      </w:r>
      <w:r w:rsidRPr="00A70A2F">
        <w:rPr>
          <w:rFonts w:ascii="Times New Roman" w:hAnsi="Times New Roman" w:cs="Times New Roman"/>
          <w:sz w:val="24"/>
          <w:szCs w:val="24"/>
        </w:rPr>
        <w:t xml:space="preserve"> </w:t>
      </w:r>
    </w:p>
    <w:p w:rsidR="00A645FD" w:rsidRDefault="00A645FD" w:rsidP="00A645F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w:t>
      </w:r>
      <w:r w:rsidRPr="00C535E6">
        <w:rPr>
          <w:rFonts w:ascii="Times New Roman" w:hAnsi="Times New Roman" w:cs="Times New Roman"/>
          <w:sz w:val="24"/>
          <w:szCs w:val="24"/>
        </w:rPr>
        <w:t>stedman@ufl.edu</w:t>
      </w:r>
    </w:p>
    <w:p w:rsidR="00A645FD" w:rsidRPr="00CB6CFF" w:rsidRDefault="00A645FD" w:rsidP="00A645FD">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University of Florida</w:t>
      </w:r>
    </w:p>
    <w:p w:rsidR="00A645FD" w:rsidRPr="00CB6CFF" w:rsidRDefault="00A645FD" w:rsidP="00A645FD">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PO Box 110540</w:t>
      </w:r>
    </w:p>
    <w:p w:rsidR="00A645FD" w:rsidRDefault="00A645FD" w:rsidP="00A645FD">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Gainesville, FL 32611</w:t>
      </w:r>
    </w:p>
    <w:p w:rsidR="00A645FD" w:rsidRDefault="00A645FD" w:rsidP="00A645F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w:t>
      </w:r>
    </w:p>
    <w:p w:rsidR="00F326BE" w:rsidRDefault="00F326BE" w:rsidP="00F326BE">
      <w:pPr>
        <w:spacing w:after="0" w:line="240" w:lineRule="auto"/>
        <w:jc w:val="center"/>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Gregory Gifford, PhD</w:t>
      </w:r>
    </w:p>
    <w:p w:rsidR="00F326BE" w:rsidRDefault="009B5A79" w:rsidP="00F326BE">
      <w:pPr>
        <w:spacing w:after="0" w:line="240" w:lineRule="auto"/>
        <w:jc w:val="center"/>
        <w:rPr>
          <w:rFonts w:ascii="Times New Roman" w:hAnsi="Times New Roman" w:cs="Times New Roman"/>
          <w:sz w:val="24"/>
          <w:szCs w:val="24"/>
        </w:rPr>
      </w:pPr>
      <w:hyperlink r:id="rId6" w:history="1">
        <w:r w:rsidR="00F326BE" w:rsidRPr="0044098C">
          <w:rPr>
            <w:rStyle w:val="Hyperlink"/>
            <w:rFonts w:ascii="Times New Roman" w:hAnsi="Times New Roman" w:cs="Times New Roman"/>
            <w:sz w:val="24"/>
            <w:szCs w:val="24"/>
          </w:rPr>
          <w:t>ggifford@ufl.edu</w:t>
        </w:r>
      </w:hyperlink>
    </w:p>
    <w:p w:rsidR="00F326BE" w:rsidRPr="00CB6CFF"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University of Florida</w:t>
      </w:r>
    </w:p>
    <w:p w:rsidR="00F326BE" w:rsidRPr="00CB6CFF"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PO Box 110540</w:t>
      </w:r>
    </w:p>
    <w:p w:rsidR="00F326BE" w:rsidRDefault="00F326BE" w:rsidP="00F326BE">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Gainesville, FL 32611</w:t>
      </w:r>
    </w:p>
    <w:p w:rsidR="00F326BE" w:rsidRDefault="00F326BE" w:rsidP="00F326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w:t>
      </w:r>
    </w:p>
    <w:p w:rsidR="00F326BE" w:rsidRPr="00CB6CFF" w:rsidRDefault="00F326BE" w:rsidP="00F326BE">
      <w:pPr>
        <w:spacing w:after="0" w:line="240" w:lineRule="auto"/>
        <w:jc w:val="center"/>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CB6CFF" w:rsidRDefault="00F326BE" w:rsidP="00F326BE">
      <w:pPr>
        <w:spacing w:after="0" w:line="240" w:lineRule="auto"/>
        <w:jc w:val="center"/>
        <w:rPr>
          <w:rFonts w:ascii="Times New Roman" w:hAnsi="Times New Roman" w:cs="Times New Roman"/>
          <w:sz w:val="24"/>
          <w:szCs w:val="24"/>
        </w:rPr>
      </w:pPr>
    </w:p>
    <w:p w:rsidR="00F326BE" w:rsidRPr="00A70A2F" w:rsidRDefault="00F326BE" w:rsidP="00F326BE">
      <w:pPr>
        <w:spacing w:after="0" w:line="240" w:lineRule="auto"/>
        <w:jc w:val="center"/>
        <w:rPr>
          <w:rFonts w:ascii="Times New Roman" w:hAnsi="Times New Roman" w:cs="Times New Roman"/>
          <w:b/>
          <w:sz w:val="24"/>
          <w:szCs w:val="24"/>
        </w:rPr>
      </w:pPr>
      <w:r w:rsidRPr="00A70A2F">
        <w:rPr>
          <w:rFonts w:ascii="Times New Roman" w:hAnsi="Times New Roman" w:cs="Times New Roman"/>
          <w:b/>
          <w:sz w:val="24"/>
          <w:szCs w:val="24"/>
        </w:rPr>
        <w:t>Critical Thinking Skills Evidenced in Graduate Student</w:t>
      </w:r>
      <w:r w:rsidR="006917DD">
        <w:rPr>
          <w:rFonts w:ascii="Times New Roman" w:hAnsi="Times New Roman" w:cs="Times New Roman"/>
          <w:b/>
          <w:sz w:val="24"/>
          <w:szCs w:val="24"/>
        </w:rPr>
        <w:t>s</w:t>
      </w:r>
      <w:r w:rsidRPr="00A70A2F">
        <w:rPr>
          <w:rFonts w:ascii="Times New Roman" w:hAnsi="Times New Roman" w:cs="Times New Roman"/>
          <w:b/>
          <w:sz w:val="24"/>
          <w:szCs w:val="24"/>
        </w:rPr>
        <w:t xml:space="preserve"> Blogs</w:t>
      </w:r>
    </w:p>
    <w:p w:rsidR="00F326BE" w:rsidRPr="00CB6CFF" w:rsidRDefault="00F326BE" w:rsidP="00F326BE">
      <w:pPr>
        <w:spacing w:after="0" w:line="240" w:lineRule="auto"/>
        <w:jc w:val="center"/>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b/>
          <w:sz w:val="24"/>
          <w:szCs w:val="24"/>
        </w:rPr>
      </w:pPr>
      <w:r w:rsidRPr="00CB6CFF">
        <w:rPr>
          <w:rFonts w:ascii="Times New Roman" w:hAnsi="Times New Roman" w:cs="Times New Roman"/>
          <w:b/>
          <w:sz w:val="24"/>
          <w:szCs w:val="24"/>
        </w:rPr>
        <w:t>Introduction/need for research</w:t>
      </w:r>
    </w:p>
    <w:p w:rsidR="00F326BE" w:rsidRPr="00CB6CFF" w:rsidRDefault="00F326BE" w:rsidP="00F326BE">
      <w:pPr>
        <w:spacing w:after="0" w:line="240" w:lineRule="auto"/>
        <w:jc w:val="center"/>
        <w:rPr>
          <w:rFonts w:ascii="Times New Roman" w:hAnsi="Times New Roman" w:cs="Times New Roman"/>
          <w:b/>
          <w:sz w:val="24"/>
          <w:szCs w:val="24"/>
        </w:rPr>
      </w:pPr>
    </w:p>
    <w:p w:rsidR="00F326BE" w:rsidRDefault="00F326BE" w:rsidP="00F326BE">
      <w:pPr>
        <w:spacing w:after="0" w:line="240" w:lineRule="auto"/>
        <w:rPr>
          <w:rFonts w:ascii="Times New Roman" w:hAnsi="Times New Roman" w:cs="Times New Roman"/>
          <w:sz w:val="24"/>
          <w:szCs w:val="24"/>
        </w:rPr>
      </w:pPr>
      <w:r>
        <w:rPr>
          <w:rFonts w:ascii="Times New Roman" w:hAnsi="Times New Roman" w:cs="Times New Roman"/>
          <w:sz w:val="24"/>
          <w:szCs w:val="24"/>
        </w:rPr>
        <w:tab/>
        <w:t>Technology has made an impact on what educators can do and the resources they can use in their classrooms.  Blogs are one example of a pedagogical tool appropriate for stimulating student reflection of course content and experiences (Cannon, Stedman &amp; Gifford, 2010).  However, little research has been conducted identifying the specific benefits of blogs on student cognitive development. Critical thinking is one area of cognitive development necessary for student success (</w:t>
      </w:r>
      <w:proofErr w:type="spellStart"/>
      <w:r>
        <w:rPr>
          <w:rFonts w:ascii="Times New Roman" w:hAnsi="Times New Roman" w:cs="Times New Roman"/>
          <w:sz w:val="24"/>
          <w:szCs w:val="24"/>
        </w:rPr>
        <w:t>Halpern</w:t>
      </w:r>
      <w:proofErr w:type="spellEnd"/>
      <w:r>
        <w:rPr>
          <w:rFonts w:ascii="Times New Roman" w:hAnsi="Times New Roman" w:cs="Times New Roman"/>
          <w:sz w:val="24"/>
          <w:szCs w:val="24"/>
        </w:rPr>
        <w:t xml:space="preserve">, 1990).  The objective of this research study was to identify </w:t>
      </w:r>
      <w:proofErr w:type="spellStart"/>
      <w:r>
        <w:rPr>
          <w:rFonts w:ascii="Times New Roman" w:hAnsi="Times New Roman" w:cs="Times New Roman"/>
          <w:sz w:val="24"/>
          <w:szCs w:val="24"/>
        </w:rPr>
        <w:t>Facione’s</w:t>
      </w:r>
      <w:proofErr w:type="spellEnd"/>
      <w:r>
        <w:rPr>
          <w:rFonts w:ascii="Times New Roman" w:hAnsi="Times New Roman" w:cs="Times New Roman"/>
          <w:sz w:val="24"/>
          <w:szCs w:val="24"/>
        </w:rPr>
        <w:t xml:space="preserve"> six critical thinking skills using graduate students blogs as a reflection tool in the context of leadership. Students often learn from reflecting on their past leadership experiences. Reflection using a social media tool like blogging to look at the impacts of critical thinking. Rudd, baker, and Hoover (2000) defined critical thinking as, “a reasoned, purposive, and introspective approach to solving problems of addressing questions with incomplete evidence and information for which an incontrovertible solution is unlikely” (pg. 5).</w:t>
      </w:r>
    </w:p>
    <w:p w:rsidR="00F326BE" w:rsidRPr="00CB6CFF" w:rsidRDefault="00F326BE" w:rsidP="00F326BE">
      <w:pPr>
        <w:spacing w:after="0" w:line="240" w:lineRule="auto"/>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b/>
          <w:sz w:val="24"/>
          <w:szCs w:val="24"/>
        </w:rPr>
      </w:pPr>
      <w:r w:rsidRPr="00CB6CFF">
        <w:rPr>
          <w:rFonts w:ascii="Times New Roman" w:hAnsi="Times New Roman" w:cs="Times New Roman"/>
          <w:b/>
          <w:sz w:val="24"/>
          <w:szCs w:val="24"/>
        </w:rPr>
        <w:t xml:space="preserve">Theoretical Framework </w:t>
      </w:r>
    </w:p>
    <w:p w:rsidR="00F326BE" w:rsidRPr="00CB6CFF" w:rsidRDefault="00F326BE" w:rsidP="00F326BE">
      <w:pPr>
        <w:spacing w:after="0" w:line="240" w:lineRule="auto"/>
        <w:jc w:val="center"/>
        <w:rPr>
          <w:rFonts w:ascii="Times New Roman" w:hAnsi="Times New Roman" w:cs="Times New Roman"/>
          <w:b/>
          <w:sz w:val="24"/>
          <w:szCs w:val="24"/>
        </w:rPr>
      </w:pPr>
    </w:p>
    <w:p w:rsidR="00F326BE" w:rsidRDefault="00F326BE" w:rsidP="00F326BE">
      <w:pPr>
        <w:spacing w:after="0" w:line="240" w:lineRule="auto"/>
        <w:ind w:firstLine="720"/>
        <w:contextualSpacing/>
        <w:rPr>
          <w:rFonts w:ascii="Times New Roman" w:hAnsi="Times New Roman" w:cs="Times New Roman"/>
          <w:sz w:val="24"/>
          <w:szCs w:val="24"/>
        </w:rPr>
      </w:pPr>
      <w:r w:rsidRPr="00CB6CFF">
        <w:rPr>
          <w:rFonts w:ascii="Times New Roman" w:hAnsi="Times New Roman" w:cs="Times New Roman"/>
          <w:sz w:val="24"/>
          <w:szCs w:val="24"/>
        </w:rPr>
        <w:t xml:space="preserve">The Delphi Report (1990) by Peter A. </w:t>
      </w:r>
      <w:proofErr w:type="spellStart"/>
      <w:r w:rsidRPr="00CB6CFF">
        <w:rPr>
          <w:rFonts w:ascii="Times New Roman" w:hAnsi="Times New Roman" w:cs="Times New Roman"/>
          <w:sz w:val="24"/>
          <w:szCs w:val="24"/>
        </w:rPr>
        <w:t>Facione</w:t>
      </w:r>
      <w:proofErr w:type="spellEnd"/>
      <w:r w:rsidRPr="00CB6CFF">
        <w:rPr>
          <w:rFonts w:ascii="Times New Roman" w:hAnsi="Times New Roman" w:cs="Times New Roman"/>
          <w:sz w:val="24"/>
          <w:szCs w:val="24"/>
        </w:rPr>
        <w:t xml:space="preserve"> on critical thinking skills was used as a framework for this research. </w:t>
      </w:r>
      <w:proofErr w:type="spellStart"/>
      <w:r w:rsidRPr="00CB6CFF">
        <w:rPr>
          <w:rFonts w:ascii="Times New Roman" w:hAnsi="Times New Roman" w:cs="Times New Roman"/>
          <w:sz w:val="24"/>
          <w:szCs w:val="24"/>
        </w:rPr>
        <w:t>Facione</w:t>
      </w:r>
      <w:proofErr w:type="spellEnd"/>
      <w:r w:rsidRPr="00CB6CFF">
        <w:rPr>
          <w:rFonts w:ascii="Times New Roman" w:hAnsi="Times New Roman" w:cs="Times New Roman"/>
          <w:sz w:val="24"/>
          <w:szCs w:val="24"/>
        </w:rPr>
        <w:t xml:space="preserve"> (1990) defined critical thinking as, “purposeful, self-regulatory judgment which results in interpretation, analysis, evaluation, and inference, as well as explanation of the evidential, conceptual, methodological, </w:t>
      </w:r>
      <w:proofErr w:type="spellStart"/>
      <w:r w:rsidRPr="00CB6CFF">
        <w:rPr>
          <w:rFonts w:ascii="Times New Roman" w:hAnsi="Times New Roman" w:cs="Times New Roman"/>
          <w:sz w:val="24"/>
          <w:szCs w:val="24"/>
        </w:rPr>
        <w:t>criteriological</w:t>
      </w:r>
      <w:proofErr w:type="spellEnd"/>
      <w:r w:rsidRPr="00CB6CFF">
        <w:rPr>
          <w:rFonts w:ascii="Times New Roman" w:hAnsi="Times New Roman" w:cs="Times New Roman"/>
          <w:sz w:val="24"/>
          <w:szCs w:val="24"/>
        </w:rPr>
        <w:t xml:space="preserve">, or contextual considerations…” </w:t>
      </w:r>
      <w:proofErr w:type="gramStart"/>
      <w:r w:rsidRPr="00CB6CFF">
        <w:rPr>
          <w:rFonts w:ascii="Times New Roman" w:hAnsi="Times New Roman" w:cs="Times New Roman"/>
          <w:sz w:val="24"/>
          <w:szCs w:val="24"/>
        </w:rPr>
        <w:t>(pg. 2).</w:t>
      </w:r>
      <w:proofErr w:type="gramEnd"/>
      <w:r w:rsidRPr="00CB6CFF">
        <w:rPr>
          <w:rFonts w:ascii="Times New Roman" w:hAnsi="Times New Roman" w:cs="Times New Roman"/>
          <w:sz w:val="24"/>
          <w:szCs w:val="24"/>
        </w:rPr>
        <w:t xml:space="preserve"> The Delphi panel of experts consensually agreed on descriptions of the following critical thinking cognitive skills: (1) Interpretation, (2) Analysis, (3) Evaluation, (4) Inference, (5) Explanation, and (6) Self-Regulation. </w:t>
      </w:r>
    </w:p>
    <w:p w:rsidR="00085C2C" w:rsidRDefault="00085C2C" w:rsidP="00F326BE">
      <w:pPr>
        <w:spacing w:after="0" w:line="240" w:lineRule="auto"/>
        <w:ind w:firstLine="720"/>
        <w:contextualSpacing/>
        <w:rPr>
          <w:rFonts w:ascii="Times New Roman" w:hAnsi="Times New Roman" w:cs="Times New Roman"/>
          <w:sz w:val="24"/>
          <w:szCs w:val="24"/>
        </w:rPr>
      </w:pPr>
    </w:p>
    <w:p w:rsidR="00F326BE" w:rsidRDefault="00F326BE" w:rsidP="00F326BE">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Gifford (2010) found that when using the “What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So What? Now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model students were more consistent in the quality of reflection in a blog. This study was conducted with undergraduates in a service-learning based course. The goal of the experience was to enhance critical thinking of leadership students through blogs.  He recommended that leadership educators continue to integrate technology into the learning experience of students.  </w:t>
      </w:r>
    </w:p>
    <w:p w:rsidR="00085C2C" w:rsidRDefault="00085C2C" w:rsidP="00F326BE">
      <w:pPr>
        <w:spacing w:after="0" w:line="240" w:lineRule="auto"/>
        <w:ind w:firstLine="720"/>
        <w:contextualSpacing/>
        <w:rPr>
          <w:rFonts w:ascii="Times New Roman" w:hAnsi="Times New Roman" w:cs="Times New Roman"/>
          <w:sz w:val="24"/>
          <w:szCs w:val="24"/>
        </w:rPr>
      </w:pPr>
    </w:p>
    <w:p w:rsidR="00F326BE" w:rsidRPr="00CB6CFF" w:rsidRDefault="00F326BE" w:rsidP="00F326BE">
      <w:pPr>
        <w:spacing w:after="0" w:line="240" w:lineRule="auto"/>
        <w:ind w:firstLine="720"/>
        <w:contextualSpacing/>
        <w:rPr>
          <w:rFonts w:ascii="Times New Roman" w:hAnsi="Times New Roman" w:cs="Times New Roman"/>
          <w:sz w:val="24"/>
          <w:szCs w:val="24"/>
        </w:rPr>
      </w:pPr>
      <w:r w:rsidRPr="00CB6CFF">
        <w:rPr>
          <w:rFonts w:ascii="Times New Roman" w:hAnsi="Times New Roman" w:cs="Times New Roman"/>
          <w:sz w:val="24"/>
          <w:szCs w:val="24"/>
        </w:rPr>
        <w:t xml:space="preserve">The purpose of this research was to identify the frequency and depth of skill used among leadership students in a personal blog. As reported by </w:t>
      </w:r>
      <w:proofErr w:type="spellStart"/>
      <w:r w:rsidRPr="00CB6CFF">
        <w:rPr>
          <w:rFonts w:ascii="Times New Roman" w:hAnsi="Times New Roman" w:cs="Times New Roman"/>
          <w:sz w:val="24"/>
          <w:szCs w:val="24"/>
        </w:rPr>
        <w:t>Halpern</w:t>
      </w:r>
      <w:proofErr w:type="spellEnd"/>
      <w:r w:rsidRPr="00CB6CFF">
        <w:rPr>
          <w:rFonts w:ascii="Times New Roman" w:hAnsi="Times New Roman" w:cs="Times New Roman"/>
          <w:sz w:val="24"/>
          <w:szCs w:val="24"/>
        </w:rPr>
        <w:t xml:space="preserve"> (1990), instructors are challenged to make students value “good” thinking and the amount of work necessary to make it happen. </w:t>
      </w:r>
    </w:p>
    <w:p w:rsidR="00F326BE" w:rsidRPr="00CB6CFF" w:rsidRDefault="00F326BE" w:rsidP="00F326BE">
      <w:pPr>
        <w:spacing w:after="0" w:line="240" w:lineRule="auto"/>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b/>
          <w:sz w:val="24"/>
          <w:szCs w:val="24"/>
        </w:rPr>
      </w:pPr>
      <w:r w:rsidRPr="00CB6CFF">
        <w:rPr>
          <w:rFonts w:ascii="Times New Roman" w:hAnsi="Times New Roman" w:cs="Times New Roman"/>
          <w:b/>
          <w:sz w:val="24"/>
          <w:szCs w:val="24"/>
        </w:rPr>
        <w:t>Methodology</w:t>
      </w:r>
    </w:p>
    <w:p w:rsidR="00F326BE" w:rsidRDefault="00F326BE" w:rsidP="00F326BE">
      <w:pPr>
        <w:spacing w:after="0" w:line="240" w:lineRule="auto"/>
        <w:jc w:val="center"/>
        <w:rPr>
          <w:rFonts w:ascii="Times New Roman" w:hAnsi="Times New Roman" w:cs="Times New Roman"/>
          <w:b/>
          <w:sz w:val="24"/>
          <w:szCs w:val="24"/>
        </w:rPr>
      </w:pPr>
    </w:p>
    <w:p w:rsidR="00F326BE" w:rsidRDefault="00F326BE" w:rsidP="00F326BE">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This qualitative study was descriptive in nature utilizing content analysis to capture the demonstration of critical thinking skills in graduate students’ blogs.  According to Lincoln and </w:t>
      </w:r>
      <w:proofErr w:type="spellStart"/>
      <w:r>
        <w:rPr>
          <w:rFonts w:ascii="Times New Roman" w:hAnsi="Times New Roman" w:cs="Times New Roman"/>
          <w:sz w:val="24"/>
          <w:szCs w:val="24"/>
        </w:rPr>
        <w:t>Guba</w:t>
      </w:r>
      <w:proofErr w:type="spellEnd"/>
      <w:r>
        <w:rPr>
          <w:rFonts w:ascii="Times New Roman" w:hAnsi="Times New Roman" w:cs="Times New Roman"/>
          <w:sz w:val="24"/>
          <w:szCs w:val="24"/>
        </w:rPr>
        <w:t xml:space="preserve"> (1985) this analysis provided researchers an in-depth understanding of the phenomenon of interest.  As part of a graduate leadership theory course at a southern land grant institution students were assigned to blog for part of their course grade. The grades were determined by the content of the reflections; yet were not impacted by their specific reflection guidelines. Students </w:t>
      </w:r>
      <w:r>
        <w:rPr>
          <w:rFonts w:ascii="Times New Roman" w:hAnsi="Times New Roman" w:cs="Times New Roman"/>
          <w:sz w:val="24"/>
          <w:szCs w:val="24"/>
        </w:rPr>
        <w:lastRenderedPageBreak/>
        <w:t xml:space="preserve">were given one of two different options for their blog. The first was directed using guidelines associated with Bloom’s (1956) Taxonomy of Learning where students had to address the following areas: Cognitive Growth, Affective Response, and Behavioral Application.  The second group was given only the requirement to reflect on different topics throughout the semester.  </w:t>
      </w:r>
    </w:p>
    <w:p w:rsidR="00085C2C" w:rsidRDefault="00085C2C" w:rsidP="00F326BE">
      <w:pPr>
        <w:spacing w:after="0" w:line="240" w:lineRule="auto"/>
        <w:rPr>
          <w:rFonts w:ascii="Times New Roman" w:hAnsi="Times New Roman" w:cs="Times New Roman"/>
          <w:sz w:val="24"/>
          <w:szCs w:val="24"/>
        </w:rPr>
      </w:pPr>
    </w:p>
    <w:p w:rsidR="00F326BE" w:rsidRPr="00D76536" w:rsidRDefault="00F326BE" w:rsidP="00F326B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Students in the course represented both master and doctoral students from five different specializations within a college of agriculture and life sciences. These were teacher education, leadership education, agricultural communications, extension, and wildlife conservation. A total of 17 students were included in these groups with nine being in the guided reflection group and eight in the open reflection group. Blogs were downloaded from Wordpress.com where students were required to host their blogs. All descriptive information was removed from the blogs prior to be reviewed by two researchers. The researchers were required to review each blog entry for each student evaluating the content for evidence of each of the six critical thinking skills identified by </w:t>
      </w:r>
      <w:proofErr w:type="spellStart"/>
      <w:r>
        <w:rPr>
          <w:rFonts w:ascii="Times New Roman" w:hAnsi="Times New Roman" w:cs="Times New Roman"/>
          <w:sz w:val="24"/>
          <w:szCs w:val="24"/>
        </w:rPr>
        <w:t>Facione</w:t>
      </w:r>
      <w:proofErr w:type="spellEnd"/>
      <w:r>
        <w:rPr>
          <w:rFonts w:ascii="Times New Roman" w:hAnsi="Times New Roman" w:cs="Times New Roman"/>
          <w:sz w:val="24"/>
          <w:szCs w:val="24"/>
        </w:rPr>
        <w:t xml:space="preserve"> (1990).  In order to establish trustworthiness of the study, an audit trail and acknowledgement of the researchers’ biases were disclosed. Upon completion of the content analysis, researchers shared their results to determine consistency in evidence.  </w:t>
      </w:r>
    </w:p>
    <w:p w:rsidR="00F326BE" w:rsidRPr="00CB6CFF" w:rsidRDefault="00F326BE" w:rsidP="00F326BE">
      <w:pPr>
        <w:spacing w:after="0" w:line="240" w:lineRule="auto"/>
        <w:rPr>
          <w:rFonts w:ascii="Times New Roman" w:hAnsi="Times New Roman" w:cs="Times New Roman"/>
          <w:sz w:val="24"/>
          <w:szCs w:val="24"/>
        </w:rPr>
      </w:pPr>
    </w:p>
    <w:p w:rsidR="00F326BE" w:rsidRDefault="00F326BE" w:rsidP="00F326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Results/F</w:t>
      </w:r>
      <w:r w:rsidRPr="00CB6CFF">
        <w:rPr>
          <w:rFonts w:ascii="Times New Roman" w:hAnsi="Times New Roman" w:cs="Times New Roman"/>
          <w:b/>
          <w:sz w:val="24"/>
          <w:szCs w:val="24"/>
        </w:rPr>
        <w:t>indings</w:t>
      </w:r>
      <w:r>
        <w:rPr>
          <w:rFonts w:ascii="Times New Roman" w:hAnsi="Times New Roman" w:cs="Times New Roman"/>
          <w:b/>
          <w:sz w:val="24"/>
          <w:szCs w:val="24"/>
        </w:rPr>
        <w:t>/</w:t>
      </w:r>
      <w:r w:rsidRPr="00CB6CFF">
        <w:rPr>
          <w:rFonts w:ascii="Times New Roman" w:hAnsi="Times New Roman" w:cs="Times New Roman"/>
          <w:b/>
          <w:sz w:val="24"/>
          <w:szCs w:val="24"/>
        </w:rPr>
        <w:t>Conclusions</w:t>
      </w:r>
    </w:p>
    <w:p w:rsidR="00F326BE" w:rsidRDefault="00F326BE" w:rsidP="00F326BE">
      <w:pPr>
        <w:spacing w:after="0" w:line="240" w:lineRule="auto"/>
        <w:rPr>
          <w:rFonts w:ascii="Times New Roman" w:hAnsi="Times New Roman" w:cs="Times New Roman"/>
          <w:sz w:val="24"/>
          <w:szCs w:val="24"/>
        </w:rPr>
      </w:pPr>
    </w:p>
    <w:p w:rsidR="007620C4" w:rsidRDefault="00F326BE" w:rsidP="0044751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Half of the students were given the three learning modes, the other half was not. The students that had the structure</w:t>
      </w:r>
      <w:r w:rsidRPr="00CB6CFF">
        <w:rPr>
          <w:rFonts w:ascii="Times New Roman" w:hAnsi="Times New Roman" w:cs="Times New Roman"/>
          <w:sz w:val="24"/>
          <w:szCs w:val="24"/>
        </w:rPr>
        <w:t xml:space="preserve">, the more conceptual </w:t>
      </w:r>
      <w:r>
        <w:rPr>
          <w:rFonts w:ascii="Times New Roman" w:hAnsi="Times New Roman" w:cs="Times New Roman"/>
          <w:sz w:val="24"/>
          <w:szCs w:val="24"/>
        </w:rPr>
        <w:t>and thorough the blogs were</w:t>
      </w:r>
      <w:r w:rsidRPr="00CB6CFF">
        <w:rPr>
          <w:rFonts w:ascii="Times New Roman" w:hAnsi="Times New Roman" w:cs="Times New Roman"/>
          <w:sz w:val="24"/>
          <w:szCs w:val="24"/>
        </w:rPr>
        <w:t>. The top three critical thinking skills used by students were self-regulation, explanation, and interpretation.</w:t>
      </w:r>
      <w:r>
        <w:rPr>
          <w:rFonts w:ascii="Times New Roman" w:hAnsi="Times New Roman" w:cs="Times New Roman"/>
          <w:sz w:val="24"/>
          <w:szCs w:val="24"/>
        </w:rPr>
        <w:t xml:space="preserve"> </w:t>
      </w:r>
      <w:r w:rsidRPr="00CB6CFF">
        <w:rPr>
          <w:rFonts w:ascii="Times New Roman" w:hAnsi="Times New Roman" w:cs="Times New Roman"/>
          <w:sz w:val="24"/>
          <w:szCs w:val="24"/>
        </w:rPr>
        <w:t>All blogs were self-regulatory</w:t>
      </w:r>
      <w:r>
        <w:rPr>
          <w:rFonts w:ascii="Times New Roman" w:hAnsi="Times New Roman" w:cs="Times New Roman"/>
          <w:sz w:val="24"/>
          <w:szCs w:val="24"/>
        </w:rPr>
        <w:t xml:space="preserve"> although they were accompanied</w:t>
      </w:r>
      <w:r w:rsidRPr="00CB6CFF">
        <w:rPr>
          <w:rFonts w:ascii="Times New Roman" w:hAnsi="Times New Roman" w:cs="Times New Roman"/>
          <w:sz w:val="24"/>
          <w:szCs w:val="24"/>
        </w:rPr>
        <w:t xml:space="preserve"> with another critical thinking skill.</w:t>
      </w:r>
      <w:r>
        <w:rPr>
          <w:rFonts w:ascii="Times New Roman" w:hAnsi="Times New Roman" w:cs="Times New Roman"/>
          <w:sz w:val="24"/>
          <w:szCs w:val="24"/>
        </w:rPr>
        <w:t xml:space="preserve"> In the</w:t>
      </w:r>
      <w:r w:rsidRPr="00CB6CFF">
        <w:rPr>
          <w:rFonts w:ascii="Times New Roman" w:hAnsi="Times New Roman" w:cs="Times New Roman"/>
          <w:sz w:val="24"/>
          <w:szCs w:val="24"/>
        </w:rPr>
        <w:t xml:space="preserve"> findings, interpretation and explanation overlapped as well as analysis and evaluation. These pairs were difficult to decipher in the context of the blogs. </w:t>
      </w:r>
      <w:r>
        <w:rPr>
          <w:rFonts w:ascii="Times New Roman" w:hAnsi="Times New Roman" w:cs="Times New Roman"/>
          <w:sz w:val="24"/>
          <w:szCs w:val="24"/>
        </w:rPr>
        <w:t xml:space="preserve">When analyzing the data, it was </w:t>
      </w:r>
      <w:r w:rsidR="00447513">
        <w:rPr>
          <w:rFonts w:ascii="Times New Roman" w:hAnsi="Times New Roman" w:cs="Times New Roman"/>
          <w:sz w:val="24"/>
          <w:szCs w:val="24"/>
        </w:rPr>
        <w:t xml:space="preserve">often </w:t>
      </w:r>
      <w:r>
        <w:rPr>
          <w:rFonts w:ascii="Times New Roman" w:hAnsi="Times New Roman" w:cs="Times New Roman"/>
          <w:sz w:val="24"/>
          <w:szCs w:val="24"/>
        </w:rPr>
        <w:t xml:space="preserve">clear if they were using critical thinking skills when reflecting. The unstructured reflections were inconsistent and lacked focus. </w:t>
      </w:r>
      <w:r w:rsidR="00447513">
        <w:rPr>
          <w:rFonts w:ascii="Times New Roman" w:hAnsi="Times New Roman" w:cs="Times New Roman"/>
          <w:sz w:val="24"/>
          <w:szCs w:val="24"/>
        </w:rPr>
        <w:t>The structured reflections showed multiple critical thinking skills in one paragraph and elicited deep analogies. Made evident in research, when a student is given specific guidelines, thinking capacity is expounded. The researchers have included samples below.</w:t>
      </w:r>
      <w:r w:rsidR="00D4319A">
        <w:rPr>
          <w:rFonts w:ascii="Times New Roman" w:hAnsi="Times New Roman" w:cs="Times New Roman"/>
          <w:sz w:val="24"/>
          <w:szCs w:val="24"/>
        </w:rPr>
        <w:t xml:space="preserve"> </w:t>
      </w:r>
      <w:r w:rsidRPr="00CF1C94">
        <w:rPr>
          <w:rFonts w:ascii="Times New Roman" w:hAnsi="Times New Roman" w:cs="Times New Roman"/>
          <w:sz w:val="24"/>
          <w:szCs w:val="24"/>
        </w:rPr>
        <w:t>In the following example</w:t>
      </w:r>
      <w:r w:rsidR="007620C4">
        <w:rPr>
          <w:rFonts w:ascii="Times New Roman" w:hAnsi="Times New Roman" w:cs="Times New Roman"/>
          <w:sz w:val="24"/>
          <w:szCs w:val="24"/>
        </w:rPr>
        <w:t>s</w:t>
      </w:r>
      <w:r w:rsidRPr="00CF1C94">
        <w:rPr>
          <w:rFonts w:ascii="Times New Roman" w:hAnsi="Times New Roman" w:cs="Times New Roman"/>
          <w:sz w:val="24"/>
          <w:szCs w:val="24"/>
        </w:rPr>
        <w:t xml:space="preserve"> it is clear what critical thinking skill</w:t>
      </w:r>
      <w:r w:rsidR="007620C4">
        <w:rPr>
          <w:rFonts w:ascii="Times New Roman" w:hAnsi="Times New Roman" w:cs="Times New Roman"/>
          <w:sz w:val="24"/>
          <w:szCs w:val="24"/>
        </w:rPr>
        <w:t xml:space="preserve"> is being used</w:t>
      </w:r>
      <w:r w:rsidR="009E2ADD">
        <w:rPr>
          <w:rFonts w:ascii="Times New Roman" w:hAnsi="Times New Roman" w:cs="Times New Roman"/>
          <w:sz w:val="24"/>
          <w:szCs w:val="24"/>
        </w:rPr>
        <w:t>:</w:t>
      </w:r>
    </w:p>
    <w:p w:rsidR="007620C4" w:rsidRDefault="007620C4" w:rsidP="00716BB5">
      <w:pPr>
        <w:spacing w:after="0" w:line="240" w:lineRule="auto"/>
        <w:ind w:firstLine="720"/>
        <w:rPr>
          <w:rFonts w:ascii="Times New Roman" w:hAnsi="Times New Roman" w:cs="Times New Roman"/>
          <w:sz w:val="24"/>
          <w:szCs w:val="24"/>
        </w:rPr>
      </w:pPr>
    </w:p>
    <w:p w:rsidR="00CF1C94" w:rsidRPr="00CF1C94" w:rsidRDefault="00F326BE" w:rsidP="00EA2C93">
      <w:pPr>
        <w:spacing w:after="0" w:line="240" w:lineRule="auto"/>
        <w:ind w:left="1440" w:right="1440"/>
        <w:jc w:val="both"/>
        <w:rPr>
          <w:rFonts w:ascii="Times New Roman" w:hAnsi="Times New Roman" w:cs="Times New Roman"/>
          <w:sz w:val="24"/>
          <w:szCs w:val="24"/>
        </w:rPr>
      </w:pPr>
      <w:r w:rsidRPr="00CF1C94">
        <w:rPr>
          <w:rFonts w:ascii="Times New Roman" w:hAnsi="Times New Roman" w:cs="Times New Roman"/>
          <w:sz w:val="24"/>
          <w:szCs w:val="24"/>
        </w:rPr>
        <w:t xml:space="preserve"> “Sometimes our perception of what we think we need to answer can skew our results. I believe that because I have become more aware of my issues that I need to work on, I am self-consciously harder on myself than I would have been had I approached this test with no pre-conceived notions.”</w:t>
      </w:r>
      <w:r w:rsidR="00756424" w:rsidRPr="00756424">
        <w:rPr>
          <w:rFonts w:ascii="Times New Roman" w:hAnsi="Times New Roman" w:cs="Times New Roman"/>
          <w:sz w:val="24"/>
          <w:szCs w:val="24"/>
        </w:rPr>
        <w:t xml:space="preserve"> </w:t>
      </w:r>
      <w:r w:rsidR="00756424">
        <w:rPr>
          <w:rFonts w:ascii="Times New Roman" w:hAnsi="Times New Roman" w:cs="Times New Roman"/>
          <w:sz w:val="24"/>
          <w:szCs w:val="24"/>
        </w:rPr>
        <w:t>-Self-regulation, Student 3</w:t>
      </w:r>
    </w:p>
    <w:p w:rsidR="00CF1C94" w:rsidRDefault="00CF1C94" w:rsidP="00EA2C93">
      <w:pPr>
        <w:spacing w:after="0" w:line="240" w:lineRule="auto"/>
        <w:ind w:left="1440" w:right="1440"/>
        <w:jc w:val="both"/>
        <w:rPr>
          <w:rFonts w:ascii="Times New Roman" w:hAnsi="Times New Roman" w:cs="Times New Roman"/>
          <w:sz w:val="24"/>
          <w:szCs w:val="24"/>
        </w:rPr>
      </w:pPr>
    </w:p>
    <w:p w:rsidR="00CF1C94" w:rsidRPr="00CF1C94" w:rsidRDefault="00716BB5" w:rsidP="00EA2C93">
      <w:pPr>
        <w:spacing w:after="0" w:line="240" w:lineRule="auto"/>
        <w:ind w:left="1440" w:right="1440"/>
        <w:jc w:val="both"/>
        <w:rPr>
          <w:rFonts w:ascii="Times New Roman" w:hAnsi="Times New Roman" w:cs="Times New Roman"/>
          <w:sz w:val="24"/>
          <w:szCs w:val="24"/>
        </w:rPr>
      </w:pPr>
      <w:r>
        <w:rPr>
          <w:rFonts w:ascii="Times New Roman" w:hAnsi="Times New Roman" w:cs="Times New Roman"/>
          <w:sz w:val="24"/>
          <w:szCs w:val="24"/>
        </w:rPr>
        <w:t xml:space="preserve"> </w:t>
      </w:r>
      <w:r w:rsidR="00CF1C94" w:rsidRPr="00CF1C94">
        <w:rPr>
          <w:rFonts w:ascii="Times New Roman" w:hAnsi="Times New Roman" w:cs="Times New Roman"/>
          <w:sz w:val="24"/>
          <w:szCs w:val="24"/>
        </w:rPr>
        <w:t>“One of the hardest tasks for me through my college career has been my inability to focus on the goal itself not the process that I have to complete. Much of the culprit of the problem has been because I become enamored by the process of the project that must be completed that I forget the real reason on why I am completing the task.”</w:t>
      </w:r>
      <w:r w:rsidR="00756424" w:rsidRPr="00756424">
        <w:rPr>
          <w:rFonts w:ascii="Times New Roman" w:hAnsi="Times New Roman" w:cs="Times New Roman"/>
          <w:sz w:val="24"/>
          <w:szCs w:val="24"/>
        </w:rPr>
        <w:t xml:space="preserve"> </w:t>
      </w:r>
      <w:r w:rsidR="00756424">
        <w:rPr>
          <w:rFonts w:ascii="Times New Roman" w:hAnsi="Times New Roman" w:cs="Times New Roman"/>
          <w:sz w:val="24"/>
          <w:szCs w:val="24"/>
        </w:rPr>
        <w:t>–Explanation, Student 17</w:t>
      </w:r>
    </w:p>
    <w:p w:rsidR="00CF1C94" w:rsidRDefault="00CF1C94" w:rsidP="00EA2C93">
      <w:pPr>
        <w:spacing w:after="0" w:line="240" w:lineRule="auto"/>
        <w:ind w:left="1440" w:right="1440"/>
        <w:jc w:val="both"/>
        <w:rPr>
          <w:rFonts w:ascii="Times New Roman" w:hAnsi="Times New Roman" w:cs="Times New Roman"/>
          <w:sz w:val="24"/>
          <w:szCs w:val="24"/>
        </w:rPr>
      </w:pPr>
    </w:p>
    <w:p w:rsidR="00CF1C94" w:rsidRPr="00CF1C94" w:rsidRDefault="00CF1C94" w:rsidP="00EA2C93">
      <w:pPr>
        <w:spacing w:after="0" w:line="240" w:lineRule="auto"/>
        <w:ind w:left="1440" w:right="1440"/>
        <w:jc w:val="both"/>
        <w:rPr>
          <w:rFonts w:ascii="Times New Roman" w:hAnsi="Times New Roman" w:cs="Times New Roman"/>
          <w:sz w:val="24"/>
          <w:szCs w:val="24"/>
        </w:rPr>
      </w:pPr>
      <w:r w:rsidRPr="00CF1C94">
        <w:rPr>
          <w:rFonts w:ascii="Times New Roman" w:hAnsi="Times New Roman" w:cs="Times New Roman"/>
          <w:sz w:val="24"/>
          <w:szCs w:val="24"/>
        </w:rPr>
        <w:lastRenderedPageBreak/>
        <w:t xml:space="preserve"> “The value of this growth process is that I have learned that strengths and weaknesses can be perceived in differ</w:t>
      </w:r>
      <w:r w:rsidR="00756424">
        <w:rPr>
          <w:rFonts w:ascii="Times New Roman" w:hAnsi="Times New Roman" w:cs="Times New Roman"/>
          <w:sz w:val="24"/>
          <w:szCs w:val="24"/>
        </w:rPr>
        <w:t>ent ways, which is why a leader</w:t>
      </w:r>
      <w:r w:rsidRPr="00CF1C94">
        <w:rPr>
          <w:rFonts w:ascii="Times New Roman" w:hAnsi="Times New Roman" w:cs="Times New Roman"/>
          <w:sz w:val="24"/>
          <w:szCs w:val="24"/>
        </w:rPr>
        <w:t xml:space="preserve"> should withhold judgment on others.”</w:t>
      </w:r>
      <w:r w:rsidR="00756424" w:rsidRPr="00756424">
        <w:rPr>
          <w:rFonts w:ascii="Times New Roman" w:hAnsi="Times New Roman" w:cs="Times New Roman"/>
          <w:sz w:val="24"/>
          <w:szCs w:val="24"/>
        </w:rPr>
        <w:t xml:space="preserve"> </w:t>
      </w:r>
      <w:r w:rsidR="00756424">
        <w:rPr>
          <w:rFonts w:ascii="Times New Roman" w:hAnsi="Times New Roman" w:cs="Times New Roman"/>
          <w:sz w:val="24"/>
          <w:szCs w:val="24"/>
        </w:rPr>
        <w:t>-Interpretation, Student 11</w:t>
      </w:r>
    </w:p>
    <w:p w:rsidR="00F326BE" w:rsidRPr="00CF1C94" w:rsidRDefault="00F326BE" w:rsidP="00EA2C93">
      <w:pPr>
        <w:spacing w:after="0" w:line="240" w:lineRule="auto"/>
        <w:jc w:val="both"/>
        <w:rPr>
          <w:rFonts w:ascii="Times New Roman" w:hAnsi="Times New Roman" w:cs="Times New Roman"/>
          <w:b/>
          <w:sz w:val="24"/>
          <w:szCs w:val="24"/>
        </w:rPr>
      </w:pPr>
    </w:p>
    <w:p w:rsidR="00F326BE" w:rsidRDefault="00F326BE" w:rsidP="00F326BE">
      <w:pPr>
        <w:spacing w:after="0" w:line="240" w:lineRule="auto"/>
        <w:jc w:val="center"/>
        <w:rPr>
          <w:rFonts w:ascii="Times New Roman" w:hAnsi="Times New Roman" w:cs="Times New Roman"/>
          <w:b/>
          <w:sz w:val="24"/>
          <w:szCs w:val="24"/>
        </w:rPr>
      </w:pPr>
      <w:r w:rsidRPr="00CB6CFF">
        <w:rPr>
          <w:rFonts w:ascii="Times New Roman" w:hAnsi="Times New Roman" w:cs="Times New Roman"/>
          <w:b/>
          <w:sz w:val="24"/>
          <w:szCs w:val="24"/>
        </w:rPr>
        <w:t>Implications/recommendation</w:t>
      </w:r>
      <w:r>
        <w:rPr>
          <w:rFonts w:ascii="Times New Roman" w:hAnsi="Times New Roman" w:cs="Times New Roman"/>
          <w:b/>
          <w:sz w:val="24"/>
          <w:szCs w:val="24"/>
        </w:rPr>
        <w:t>s</w:t>
      </w:r>
    </w:p>
    <w:p w:rsidR="00F326BE" w:rsidRPr="00CB6CFF" w:rsidRDefault="00F326BE" w:rsidP="00F326BE">
      <w:pPr>
        <w:spacing w:after="0" w:line="240" w:lineRule="auto"/>
        <w:jc w:val="center"/>
        <w:rPr>
          <w:rFonts w:ascii="Times New Roman" w:hAnsi="Times New Roman" w:cs="Times New Roman"/>
          <w:b/>
          <w:sz w:val="24"/>
          <w:szCs w:val="24"/>
        </w:rPr>
      </w:pPr>
    </w:p>
    <w:p w:rsidR="00F326BE" w:rsidRPr="00CB6CFF" w:rsidRDefault="00F326BE" w:rsidP="00F326B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Blogging is used in the classroom as an experiential learning technique providing students with the abilities to think intuitively and reflect on the content. Reflection allows students to draw from past experiences and create relationships that increase critical thinking capacity. Leadership education is relying more on social media to provide an avenue for reflection and provides students the opportunity to share their reflections in an open and safe environment.  As Gifford (2010) suggested in his work there needs to be the continued inclusion of these technologies in the classroom. This will enhance student critical thinking especially when students are given specific guidance as to </w:t>
      </w:r>
      <w:r w:rsidRPr="009B4E4E">
        <w:rPr>
          <w:rFonts w:ascii="Times New Roman" w:hAnsi="Times New Roman" w:cs="Times New Roman"/>
          <w:i/>
          <w:sz w:val="24"/>
          <w:szCs w:val="24"/>
        </w:rPr>
        <w:t>how</w:t>
      </w:r>
      <w:r>
        <w:rPr>
          <w:rFonts w:ascii="Times New Roman" w:hAnsi="Times New Roman" w:cs="Times New Roman"/>
          <w:sz w:val="24"/>
          <w:szCs w:val="24"/>
        </w:rPr>
        <w:t xml:space="preserve"> to reflect.  </w:t>
      </w:r>
    </w:p>
    <w:p w:rsidR="00F326BE" w:rsidRPr="00CB6CFF" w:rsidRDefault="00F326BE" w:rsidP="00F326BE">
      <w:pPr>
        <w:spacing w:after="0" w:line="240" w:lineRule="auto"/>
        <w:rPr>
          <w:rFonts w:ascii="Times New Roman" w:hAnsi="Times New Roman" w:cs="Times New Roman"/>
          <w:sz w:val="24"/>
          <w:szCs w:val="24"/>
        </w:rPr>
      </w:pPr>
    </w:p>
    <w:p w:rsidR="006917DD" w:rsidRDefault="006917DD" w:rsidP="00F326BE">
      <w:pPr>
        <w:spacing w:after="0" w:line="240" w:lineRule="auto"/>
        <w:jc w:val="center"/>
        <w:rPr>
          <w:rFonts w:ascii="Times New Roman" w:hAnsi="Times New Roman" w:cs="Times New Roman"/>
          <w:b/>
          <w:sz w:val="24"/>
          <w:szCs w:val="24"/>
        </w:rPr>
      </w:pPr>
    </w:p>
    <w:p w:rsidR="00F326BE" w:rsidRPr="00CB6CFF" w:rsidRDefault="00F326BE" w:rsidP="00F326BE">
      <w:pPr>
        <w:spacing w:after="0" w:line="240" w:lineRule="auto"/>
        <w:jc w:val="center"/>
        <w:rPr>
          <w:rFonts w:ascii="Times New Roman" w:hAnsi="Times New Roman" w:cs="Times New Roman"/>
          <w:b/>
          <w:sz w:val="24"/>
          <w:szCs w:val="24"/>
        </w:rPr>
      </w:pPr>
      <w:r w:rsidRPr="00CB6CFF">
        <w:rPr>
          <w:rFonts w:ascii="Times New Roman" w:hAnsi="Times New Roman" w:cs="Times New Roman"/>
          <w:b/>
          <w:sz w:val="24"/>
          <w:szCs w:val="24"/>
        </w:rPr>
        <w:t>References</w:t>
      </w:r>
    </w:p>
    <w:p w:rsidR="00F326BE" w:rsidRDefault="00F326BE" w:rsidP="00F326BE">
      <w:pPr>
        <w:spacing w:after="0" w:line="240" w:lineRule="auto"/>
        <w:rPr>
          <w:rFonts w:ascii="Times New Roman" w:hAnsi="Times New Roman" w:cs="Times New Roman"/>
          <w:sz w:val="24"/>
          <w:szCs w:val="24"/>
        </w:rPr>
      </w:pPr>
    </w:p>
    <w:p w:rsidR="00F326BE" w:rsidRPr="00D30DFC" w:rsidRDefault="00F326BE" w:rsidP="00F326BE">
      <w:pPr>
        <w:spacing w:after="0" w:line="240" w:lineRule="auto"/>
        <w:ind w:left="720" w:hanging="720"/>
        <w:rPr>
          <w:rFonts w:ascii="Times New Roman" w:hAnsi="Times New Roman" w:cs="Times New Roman"/>
          <w:sz w:val="24"/>
          <w:szCs w:val="24"/>
        </w:rPr>
      </w:pPr>
      <w:r w:rsidRPr="00D30DFC">
        <w:rPr>
          <w:rFonts w:ascii="Times New Roman" w:hAnsi="Times New Roman" w:cs="Times New Roman"/>
          <w:sz w:val="24"/>
          <w:szCs w:val="24"/>
        </w:rPr>
        <w:t xml:space="preserve">Bloom B. S. (1956). </w:t>
      </w:r>
      <w:hyperlink r:id="rId7" w:history="1">
        <w:r w:rsidRPr="00D30DFC">
          <w:rPr>
            <w:rStyle w:val="Hyperlink"/>
            <w:rFonts w:ascii="Times New Roman" w:hAnsi="Times New Roman" w:cs="Times New Roman"/>
            <w:i/>
            <w:iCs/>
            <w:sz w:val="24"/>
            <w:szCs w:val="24"/>
          </w:rPr>
          <w:t>Taxonomy of Educational Objectives, Handbook I</w:t>
        </w:r>
      </w:hyperlink>
      <w:r w:rsidRPr="00D30DFC">
        <w:rPr>
          <w:rFonts w:ascii="Times New Roman" w:hAnsi="Times New Roman" w:cs="Times New Roman"/>
          <w:i/>
          <w:iCs/>
          <w:sz w:val="24"/>
          <w:szCs w:val="24"/>
        </w:rPr>
        <w:t>: The Cognitive Domain.</w:t>
      </w:r>
      <w:r w:rsidRPr="00D30DFC">
        <w:rPr>
          <w:rFonts w:ascii="Times New Roman" w:hAnsi="Times New Roman" w:cs="Times New Roman"/>
          <w:sz w:val="24"/>
          <w:szCs w:val="24"/>
        </w:rPr>
        <w:t xml:space="preserve"> New York: David McKay Co Inc.</w:t>
      </w:r>
    </w:p>
    <w:p w:rsidR="00F326BE" w:rsidRPr="00D30DFC" w:rsidRDefault="00F326BE" w:rsidP="00F326BE">
      <w:pPr>
        <w:spacing w:after="0" w:line="240" w:lineRule="auto"/>
        <w:ind w:left="720" w:hanging="720"/>
        <w:rPr>
          <w:rFonts w:ascii="Times New Roman" w:hAnsi="Times New Roman" w:cs="Times New Roman"/>
          <w:sz w:val="24"/>
          <w:szCs w:val="24"/>
        </w:rPr>
      </w:pPr>
    </w:p>
    <w:p w:rsidR="00F326BE" w:rsidRPr="00D30DFC" w:rsidRDefault="00F326BE" w:rsidP="00F326BE">
      <w:pPr>
        <w:spacing w:after="0" w:line="240" w:lineRule="auto"/>
        <w:ind w:left="720" w:hanging="720"/>
        <w:rPr>
          <w:rFonts w:ascii="Times New Roman" w:hAnsi="Times New Roman" w:cs="Times New Roman"/>
          <w:sz w:val="24"/>
          <w:szCs w:val="24"/>
        </w:rPr>
      </w:pPr>
      <w:proofErr w:type="gramStart"/>
      <w:r w:rsidRPr="00D30DFC">
        <w:rPr>
          <w:rFonts w:ascii="Times New Roman" w:hAnsi="Times New Roman" w:cs="Times New Roman"/>
          <w:sz w:val="24"/>
          <w:szCs w:val="24"/>
        </w:rPr>
        <w:t>Cannon, K., Stedman, N., and Gifford, G. (2010).</w:t>
      </w:r>
      <w:proofErr w:type="gramEnd"/>
      <w:r w:rsidRPr="00D30DFC">
        <w:rPr>
          <w:rFonts w:ascii="Times New Roman" w:hAnsi="Times New Roman" w:cs="Times New Roman"/>
          <w:sz w:val="24"/>
          <w:szCs w:val="24"/>
        </w:rPr>
        <w:t xml:space="preserve"> </w:t>
      </w:r>
      <w:proofErr w:type="gramStart"/>
      <w:r w:rsidRPr="00D30DFC">
        <w:rPr>
          <w:rFonts w:ascii="Times New Roman" w:hAnsi="Times New Roman" w:cs="Times New Roman"/>
          <w:i/>
          <w:sz w:val="24"/>
          <w:szCs w:val="24"/>
        </w:rPr>
        <w:t>Blogging as a pedagogical tool</w:t>
      </w:r>
      <w:r w:rsidRPr="00D30DFC">
        <w:rPr>
          <w:rFonts w:ascii="Times New Roman" w:hAnsi="Times New Roman" w:cs="Times New Roman"/>
          <w:sz w:val="24"/>
          <w:szCs w:val="24"/>
        </w:rPr>
        <w:t>.</w:t>
      </w:r>
      <w:proofErr w:type="gramEnd"/>
      <w:r w:rsidRPr="00D30DFC">
        <w:rPr>
          <w:rFonts w:ascii="Times New Roman" w:hAnsi="Times New Roman" w:cs="Times New Roman"/>
          <w:sz w:val="24"/>
          <w:szCs w:val="24"/>
        </w:rPr>
        <w:t xml:space="preserve"> </w:t>
      </w:r>
      <w:proofErr w:type="gramStart"/>
      <w:r w:rsidRPr="00D30DFC">
        <w:rPr>
          <w:rFonts w:ascii="Times New Roman" w:hAnsi="Times New Roman" w:cs="Times New Roman"/>
          <w:sz w:val="24"/>
          <w:szCs w:val="24"/>
        </w:rPr>
        <w:t>Proceedings of the 2010 American Association for Agricultural Education Research Conference.</w:t>
      </w:r>
      <w:proofErr w:type="gramEnd"/>
      <w:r w:rsidRPr="00D30DFC">
        <w:rPr>
          <w:rFonts w:ascii="Times New Roman" w:hAnsi="Times New Roman" w:cs="Times New Roman"/>
          <w:sz w:val="24"/>
          <w:szCs w:val="24"/>
        </w:rPr>
        <w:t xml:space="preserve"> Omaha, NE.</w:t>
      </w:r>
    </w:p>
    <w:p w:rsidR="00F326BE" w:rsidRPr="00D30DFC" w:rsidRDefault="00F326BE" w:rsidP="00F326BE">
      <w:pPr>
        <w:spacing w:after="0" w:line="240" w:lineRule="auto"/>
        <w:rPr>
          <w:rFonts w:ascii="Times New Roman" w:hAnsi="Times New Roman" w:cs="Times New Roman"/>
          <w:sz w:val="24"/>
          <w:szCs w:val="24"/>
        </w:rPr>
      </w:pPr>
    </w:p>
    <w:p w:rsidR="00F326BE" w:rsidRPr="00D30DFC" w:rsidRDefault="00F326BE" w:rsidP="00F326BE">
      <w:pPr>
        <w:spacing w:after="0" w:line="240" w:lineRule="auto"/>
        <w:rPr>
          <w:rFonts w:ascii="Times New Roman" w:hAnsi="Times New Roman" w:cs="Times New Roman"/>
          <w:sz w:val="24"/>
          <w:szCs w:val="24"/>
        </w:rPr>
      </w:pPr>
      <w:proofErr w:type="spellStart"/>
      <w:r w:rsidRPr="00D30DFC">
        <w:rPr>
          <w:rFonts w:ascii="Times New Roman" w:hAnsi="Times New Roman" w:cs="Times New Roman"/>
          <w:sz w:val="24"/>
          <w:szCs w:val="24"/>
        </w:rPr>
        <w:t>Facione</w:t>
      </w:r>
      <w:proofErr w:type="spellEnd"/>
      <w:r w:rsidRPr="00D30DFC">
        <w:rPr>
          <w:rFonts w:ascii="Times New Roman" w:hAnsi="Times New Roman" w:cs="Times New Roman"/>
          <w:sz w:val="24"/>
          <w:szCs w:val="24"/>
        </w:rPr>
        <w:t xml:space="preserve">, P.A. (1990). </w:t>
      </w:r>
      <w:proofErr w:type="gramStart"/>
      <w:r w:rsidRPr="00D30DFC">
        <w:rPr>
          <w:rFonts w:ascii="Times New Roman" w:hAnsi="Times New Roman" w:cs="Times New Roman"/>
          <w:sz w:val="24"/>
          <w:szCs w:val="24"/>
        </w:rPr>
        <w:t>The Delphi report.</w:t>
      </w:r>
      <w:proofErr w:type="gramEnd"/>
      <w:r w:rsidRPr="00D30DFC">
        <w:rPr>
          <w:rFonts w:ascii="Times New Roman" w:hAnsi="Times New Roman" w:cs="Times New Roman"/>
          <w:sz w:val="24"/>
          <w:szCs w:val="24"/>
        </w:rPr>
        <w:t xml:space="preserve"> Millbrae, CA: The California Academic Press.</w:t>
      </w:r>
    </w:p>
    <w:p w:rsidR="00F326BE" w:rsidRPr="00D30DFC" w:rsidRDefault="00F326BE" w:rsidP="00F326BE">
      <w:pPr>
        <w:spacing w:after="0" w:line="240" w:lineRule="auto"/>
        <w:rPr>
          <w:rFonts w:ascii="Times New Roman" w:hAnsi="Times New Roman" w:cs="Times New Roman"/>
          <w:sz w:val="24"/>
          <w:szCs w:val="24"/>
        </w:rPr>
      </w:pPr>
    </w:p>
    <w:p w:rsidR="00F326BE" w:rsidRPr="00D30DFC" w:rsidRDefault="00F326BE" w:rsidP="00F326BE">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Gifford, G.T. (2010). A modern technology in the leadership classroom: Using blogs for critical thinking development. </w:t>
      </w:r>
      <w:r>
        <w:rPr>
          <w:rFonts w:ascii="Times New Roman" w:hAnsi="Times New Roman" w:cs="Times New Roman"/>
          <w:i/>
          <w:sz w:val="24"/>
          <w:szCs w:val="24"/>
        </w:rPr>
        <w:t>Journal of Leadership Education, 9</w:t>
      </w:r>
      <w:r>
        <w:rPr>
          <w:rFonts w:ascii="Times New Roman" w:hAnsi="Times New Roman" w:cs="Times New Roman"/>
          <w:sz w:val="24"/>
          <w:szCs w:val="24"/>
        </w:rPr>
        <w:t xml:space="preserve">(1), 165-172. Retrieved from </w:t>
      </w:r>
      <w:r w:rsidRPr="00D30DFC">
        <w:rPr>
          <w:rFonts w:ascii="Times New Roman" w:hAnsi="Times New Roman" w:cs="Times New Roman"/>
          <w:sz w:val="24"/>
          <w:szCs w:val="24"/>
        </w:rPr>
        <w:t>http://www.fhsu.edu/jole/issues/JOLE_9_1.pdf</w:t>
      </w:r>
    </w:p>
    <w:p w:rsidR="00F326BE" w:rsidRDefault="00F326BE" w:rsidP="00F326BE">
      <w:pPr>
        <w:spacing w:after="0" w:line="240" w:lineRule="auto"/>
        <w:ind w:left="720" w:hanging="720"/>
        <w:rPr>
          <w:rFonts w:ascii="Times New Roman" w:hAnsi="Times New Roman" w:cs="Times New Roman"/>
          <w:sz w:val="24"/>
          <w:szCs w:val="24"/>
        </w:rPr>
      </w:pPr>
    </w:p>
    <w:p w:rsidR="00F326BE" w:rsidRPr="00D30DFC" w:rsidRDefault="00F326BE" w:rsidP="00F326BE">
      <w:pPr>
        <w:spacing w:after="0" w:line="240" w:lineRule="auto"/>
        <w:ind w:left="720" w:hanging="720"/>
        <w:rPr>
          <w:rFonts w:ascii="Times New Roman" w:hAnsi="Times New Roman" w:cs="Times New Roman"/>
          <w:sz w:val="24"/>
          <w:szCs w:val="24"/>
        </w:rPr>
      </w:pPr>
      <w:proofErr w:type="spellStart"/>
      <w:r w:rsidRPr="00D30DFC">
        <w:rPr>
          <w:rFonts w:ascii="Times New Roman" w:hAnsi="Times New Roman" w:cs="Times New Roman"/>
          <w:sz w:val="24"/>
          <w:szCs w:val="24"/>
        </w:rPr>
        <w:t>Halpern</w:t>
      </w:r>
      <w:proofErr w:type="spellEnd"/>
      <w:r w:rsidRPr="00D30DFC">
        <w:rPr>
          <w:rFonts w:ascii="Times New Roman" w:hAnsi="Times New Roman" w:cs="Times New Roman"/>
          <w:sz w:val="24"/>
          <w:szCs w:val="24"/>
        </w:rPr>
        <w:t xml:space="preserve">, D.F. (1990). Teaching for critical thinking: Helping college students develop the skills and dispositions of a critical thinker. </w:t>
      </w:r>
      <w:proofErr w:type="gramStart"/>
      <w:r w:rsidRPr="00D30DFC">
        <w:rPr>
          <w:rFonts w:ascii="Times New Roman" w:hAnsi="Times New Roman" w:cs="Times New Roman"/>
          <w:sz w:val="24"/>
          <w:szCs w:val="24"/>
        </w:rPr>
        <w:t>New Directions for Teaching and Learning, 1999(80), P.69-74.</w:t>
      </w:r>
      <w:proofErr w:type="gramEnd"/>
    </w:p>
    <w:p w:rsidR="00F326BE" w:rsidRPr="00D30DFC" w:rsidRDefault="00F326BE" w:rsidP="00F326BE">
      <w:pPr>
        <w:spacing w:after="0" w:line="240" w:lineRule="auto"/>
        <w:rPr>
          <w:rFonts w:ascii="Times New Roman" w:hAnsi="Times New Roman" w:cs="Times New Roman"/>
          <w:sz w:val="24"/>
          <w:szCs w:val="24"/>
        </w:rPr>
      </w:pPr>
    </w:p>
    <w:p w:rsidR="00F326BE" w:rsidRPr="00D30DFC" w:rsidRDefault="00F326BE" w:rsidP="00F326BE">
      <w:pPr>
        <w:pStyle w:val="Default"/>
        <w:ind w:left="720" w:hanging="720"/>
      </w:pPr>
      <w:r w:rsidRPr="00D30DFC">
        <w:rPr>
          <w:lang w:val="es-MX"/>
        </w:rPr>
        <w:t xml:space="preserve">Lincoln, Y. S., &amp; </w:t>
      </w:r>
      <w:proofErr w:type="spellStart"/>
      <w:r w:rsidRPr="00D30DFC">
        <w:rPr>
          <w:lang w:val="es-MX"/>
        </w:rPr>
        <w:t>Guba</w:t>
      </w:r>
      <w:proofErr w:type="spellEnd"/>
      <w:r w:rsidRPr="00D30DFC">
        <w:rPr>
          <w:lang w:val="es-MX"/>
        </w:rPr>
        <w:t xml:space="preserve">, E. G. (1985). </w:t>
      </w:r>
      <w:proofErr w:type="gramStart"/>
      <w:r w:rsidRPr="00D30DFC">
        <w:rPr>
          <w:i/>
        </w:rPr>
        <w:t>Naturalistic inquiry</w:t>
      </w:r>
      <w:r w:rsidRPr="00D30DFC">
        <w:t>.</w:t>
      </w:r>
      <w:proofErr w:type="gramEnd"/>
      <w:r w:rsidRPr="00D30DFC">
        <w:t xml:space="preserve"> Newbury Park, CA: Sage Publication, Inc.</w:t>
      </w:r>
    </w:p>
    <w:p w:rsidR="00F326BE" w:rsidRPr="00D30DFC" w:rsidRDefault="00F326BE" w:rsidP="00F326BE">
      <w:pPr>
        <w:spacing w:after="0" w:line="240" w:lineRule="auto"/>
        <w:rPr>
          <w:rFonts w:ascii="Times New Roman" w:hAnsi="Times New Roman" w:cs="Times New Roman"/>
          <w:sz w:val="24"/>
          <w:szCs w:val="24"/>
        </w:rPr>
      </w:pPr>
    </w:p>
    <w:p w:rsidR="00F326BE" w:rsidRDefault="00F326BE" w:rsidP="00F326BE">
      <w:pPr>
        <w:spacing w:after="0" w:line="240" w:lineRule="auto"/>
        <w:ind w:left="720" w:hanging="720"/>
        <w:rPr>
          <w:rFonts w:ascii="Times New Roman" w:hAnsi="Times New Roman" w:cs="Times New Roman"/>
          <w:sz w:val="24"/>
          <w:szCs w:val="24"/>
        </w:rPr>
      </w:pPr>
      <w:proofErr w:type="gramStart"/>
      <w:r w:rsidRPr="00D30DFC">
        <w:rPr>
          <w:rFonts w:ascii="Times New Roman" w:hAnsi="Times New Roman" w:cs="Times New Roman"/>
          <w:sz w:val="24"/>
          <w:szCs w:val="24"/>
        </w:rPr>
        <w:t>Rudd, R., Baker, M., and Hoover, T. (2000).</w:t>
      </w:r>
      <w:proofErr w:type="gramEnd"/>
      <w:r w:rsidRPr="00D30DFC">
        <w:rPr>
          <w:rFonts w:ascii="Times New Roman" w:hAnsi="Times New Roman" w:cs="Times New Roman"/>
          <w:sz w:val="24"/>
          <w:szCs w:val="24"/>
        </w:rPr>
        <w:t xml:space="preserve"> Undergraduate agriculture student learning styles and critical thinking abilities: Is there a relationship</w:t>
      </w:r>
      <w:r>
        <w:rPr>
          <w:rFonts w:ascii="Times New Roman" w:hAnsi="Times New Roman" w:cs="Times New Roman"/>
          <w:sz w:val="24"/>
          <w:szCs w:val="24"/>
        </w:rPr>
        <w:t xml:space="preserve">? </w:t>
      </w:r>
      <w:r w:rsidRPr="00E83549">
        <w:rPr>
          <w:rFonts w:ascii="Times New Roman" w:hAnsi="Times New Roman" w:cs="Times New Roman"/>
          <w:i/>
          <w:sz w:val="24"/>
          <w:szCs w:val="24"/>
        </w:rPr>
        <w:t>Journal of Agricultural Education</w:t>
      </w:r>
      <w:r>
        <w:rPr>
          <w:rFonts w:ascii="Times New Roman" w:hAnsi="Times New Roman" w:cs="Times New Roman"/>
          <w:sz w:val="24"/>
          <w:szCs w:val="24"/>
        </w:rPr>
        <w:t>, 42(3), p. 2-12.</w:t>
      </w:r>
    </w:p>
    <w:p w:rsidR="00F326BE" w:rsidRDefault="00F326BE" w:rsidP="00F326BE">
      <w:pPr>
        <w:spacing w:after="0" w:line="240" w:lineRule="auto"/>
        <w:rPr>
          <w:rFonts w:ascii="Times New Roman" w:hAnsi="Times New Roman" w:cs="Times New Roman"/>
          <w:sz w:val="24"/>
          <w:szCs w:val="24"/>
        </w:rPr>
      </w:pPr>
    </w:p>
    <w:p w:rsidR="00F326BE" w:rsidRPr="00CB6CFF" w:rsidRDefault="00F326BE" w:rsidP="00F326BE">
      <w:pPr>
        <w:spacing w:after="0" w:line="240" w:lineRule="auto"/>
        <w:rPr>
          <w:rFonts w:ascii="Times New Roman" w:hAnsi="Times New Roman" w:cs="Times New Roman"/>
          <w:sz w:val="24"/>
          <w:szCs w:val="24"/>
        </w:rPr>
      </w:pPr>
    </w:p>
    <w:p w:rsidR="00BA5E01" w:rsidRPr="00CB6CFF" w:rsidRDefault="00BA5E01" w:rsidP="00CB6CFF">
      <w:pPr>
        <w:spacing w:after="0" w:line="240" w:lineRule="auto"/>
        <w:rPr>
          <w:rFonts w:ascii="Times New Roman" w:hAnsi="Times New Roman" w:cs="Times New Roman"/>
          <w:sz w:val="24"/>
          <w:szCs w:val="24"/>
        </w:rPr>
      </w:pPr>
    </w:p>
    <w:sectPr w:rsidR="00BA5E01" w:rsidRPr="00CB6CFF" w:rsidSect="0004749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E43107"/>
    <w:rsid w:val="00007E56"/>
    <w:rsid w:val="00047499"/>
    <w:rsid w:val="00085C2C"/>
    <w:rsid w:val="000C3D2B"/>
    <w:rsid w:val="000D595B"/>
    <w:rsid w:val="001051C8"/>
    <w:rsid w:val="00113C18"/>
    <w:rsid w:val="00123690"/>
    <w:rsid w:val="00153F81"/>
    <w:rsid w:val="00163483"/>
    <w:rsid w:val="001B13FC"/>
    <w:rsid w:val="00223DB3"/>
    <w:rsid w:val="002A0B0D"/>
    <w:rsid w:val="002B1359"/>
    <w:rsid w:val="002B5FDB"/>
    <w:rsid w:val="00300A21"/>
    <w:rsid w:val="0039546A"/>
    <w:rsid w:val="00447513"/>
    <w:rsid w:val="00455AE1"/>
    <w:rsid w:val="004A216E"/>
    <w:rsid w:val="004A7F77"/>
    <w:rsid w:val="004D7226"/>
    <w:rsid w:val="004F1C28"/>
    <w:rsid w:val="005312B9"/>
    <w:rsid w:val="005E459F"/>
    <w:rsid w:val="005F3839"/>
    <w:rsid w:val="006707CA"/>
    <w:rsid w:val="006917DD"/>
    <w:rsid w:val="006A1682"/>
    <w:rsid w:val="00716BB5"/>
    <w:rsid w:val="00756424"/>
    <w:rsid w:val="007620C4"/>
    <w:rsid w:val="00792CA0"/>
    <w:rsid w:val="00797DB7"/>
    <w:rsid w:val="00840895"/>
    <w:rsid w:val="00867F5D"/>
    <w:rsid w:val="0089716F"/>
    <w:rsid w:val="008A01E0"/>
    <w:rsid w:val="00937DCD"/>
    <w:rsid w:val="00983C9B"/>
    <w:rsid w:val="00986795"/>
    <w:rsid w:val="009B5A79"/>
    <w:rsid w:val="009C5186"/>
    <w:rsid w:val="009E2ADD"/>
    <w:rsid w:val="009E62D7"/>
    <w:rsid w:val="00A645FD"/>
    <w:rsid w:val="00AC4D89"/>
    <w:rsid w:val="00AF3989"/>
    <w:rsid w:val="00B65C88"/>
    <w:rsid w:val="00B97005"/>
    <w:rsid w:val="00BA5E01"/>
    <w:rsid w:val="00C1559F"/>
    <w:rsid w:val="00C250FF"/>
    <w:rsid w:val="00C535E6"/>
    <w:rsid w:val="00CB6CFF"/>
    <w:rsid w:val="00CE672B"/>
    <w:rsid w:val="00CF1C94"/>
    <w:rsid w:val="00D31B6C"/>
    <w:rsid w:val="00D4319A"/>
    <w:rsid w:val="00D62C0C"/>
    <w:rsid w:val="00DF7EF6"/>
    <w:rsid w:val="00E20F8D"/>
    <w:rsid w:val="00E33F4C"/>
    <w:rsid w:val="00E356D1"/>
    <w:rsid w:val="00E43107"/>
    <w:rsid w:val="00E83549"/>
    <w:rsid w:val="00EA2C93"/>
    <w:rsid w:val="00EB5506"/>
    <w:rsid w:val="00ED54B4"/>
    <w:rsid w:val="00ED6AC5"/>
    <w:rsid w:val="00F00269"/>
    <w:rsid w:val="00F05087"/>
    <w:rsid w:val="00F06CF7"/>
    <w:rsid w:val="00F326BE"/>
    <w:rsid w:val="00FC5B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6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CA0"/>
    <w:rPr>
      <w:color w:val="0000FF" w:themeColor="hyperlink"/>
      <w:u w:val="single"/>
    </w:rPr>
  </w:style>
  <w:style w:type="paragraph" w:customStyle="1" w:styleId="Default">
    <w:name w:val="Default"/>
    <w:rsid w:val="00F326B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mazon.com/Taxonomy-Educational-Objectives-Handbook-Cognitive/dp/0582280109/bigdogsbowlofb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gifford@ufl.edu" TargetMode="External"/><Relationship Id="rId5" Type="http://schemas.openxmlformats.org/officeDocument/2006/relationships/hyperlink" Target="mailto:hollykreed@ufl.edu" TargetMode="External"/><Relationship Id="rId4" Type="http://schemas.openxmlformats.org/officeDocument/2006/relationships/hyperlink" Target="mailto:giraud523@ufl.edu"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1368</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9154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nstedman</cp:lastModifiedBy>
  <cp:revision>4</cp:revision>
  <dcterms:created xsi:type="dcterms:W3CDTF">2010-11-05T13:49:00Z</dcterms:created>
  <dcterms:modified xsi:type="dcterms:W3CDTF">2010-11-05T14:01:00Z</dcterms:modified>
</cp:coreProperties>
</file>